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ED7D" w14:textId="424E6D57" w:rsidR="003531FD" w:rsidRPr="001A5121" w:rsidRDefault="003531FD" w:rsidP="003531FD">
      <w:pPr>
        <w:spacing w:before="120" w:after="120"/>
        <w:ind w:right="180"/>
        <w:rPr>
          <w:noProof/>
        </w:rPr>
      </w:pPr>
      <w:r w:rsidRPr="007F46D0">
        <w:rPr>
          <w:rFonts w:ascii="Arial" w:hAnsi="Arial" w:cs="Arial"/>
          <w:noProof/>
          <w:sz w:val="20"/>
          <w:szCs w:val="20"/>
        </w:rPr>
        <w:t xml:space="preserve">Process: This job aid describes the steps involved in </w:t>
      </w:r>
      <w:r w:rsidR="00A779A6">
        <w:rPr>
          <w:rFonts w:ascii="Arial" w:hAnsi="Arial" w:cs="Arial"/>
          <w:noProof/>
          <w:sz w:val="20"/>
          <w:szCs w:val="20"/>
        </w:rPr>
        <w:t>searching for a grant file in</w:t>
      </w:r>
      <w:r w:rsidR="00024F41">
        <w:rPr>
          <w:rFonts w:ascii="Arial" w:hAnsi="Arial" w:cs="Arial"/>
          <w:noProof/>
          <w:sz w:val="20"/>
          <w:szCs w:val="20"/>
        </w:rPr>
        <w:t xml:space="preserve"> </w:t>
      </w:r>
      <w:r w:rsidR="00D46A67">
        <w:rPr>
          <w:rFonts w:ascii="Arial" w:hAnsi="Arial" w:cs="Arial"/>
          <w:noProof/>
          <w:sz w:val="20"/>
          <w:szCs w:val="20"/>
        </w:rPr>
        <w:t>Perceptive Content.</w:t>
      </w:r>
      <w:r w:rsidR="00024F41">
        <w:rPr>
          <w:rFonts w:ascii="Arial" w:hAnsi="Arial" w:cs="Arial"/>
          <w:noProof/>
          <w:sz w:val="20"/>
          <w:szCs w:val="20"/>
        </w:rPr>
        <w:t xml:space="preserve"> </w:t>
      </w:r>
    </w:p>
    <w:p w14:paraId="0C37FD6A" w14:textId="77777777" w:rsidR="00A36FEB" w:rsidRPr="00F347CD" w:rsidRDefault="00A36FEB" w:rsidP="00F347CD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173"/>
        <w:gridCol w:w="7597"/>
      </w:tblGrid>
      <w:tr w:rsidR="002A52E6" w:rsidRPr="007F46D0" w14:paraId="0C37FD6C" w14:textId="77777777" w:rsidTr="00A779A6">
        <w:tc>
          <w:tcPr>
            <w:tcW w:w="10770" w:type="dxa"/>
            <w:gridSpan w:val="2"/>
            <w:tcBorders>
              <w:top w:val="nil"/>
              <w:bottom w:val="single" w:sz="12" w:space="0" w:color="auto"/>
            </w:tcBorders>
            <w:shd w:val="clear" w:color="auto" w:fill="B1946C"/>
            <w:vAlign w:val="center"/>
          </w:tcPr>
          <w:p w14:paraId="0C37FD6B" w14:textId="05F011CA" w:rsidR="002A52E6" w:rsidRPr="007F46D0" w:rsidRDefault="00387071" w:rsidP="0024085A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‘File’ document in ImageNow</w:t>
            </w:r>
          </w:p>
        </w:tc>
      </w:tr>
      <w:tr w:rsidR="00ED2273" w:rsidRPr="007F46D0" w14:paraId="3F4B8063" w14:textId="77777777" w:rsidTr="00A779A6"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F49C2F" w14:textId="6FC31560" w:rsidR="00ED2273" w:rsidRDefault="00D46A67" w:rsidP="007F46D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Perceptive Content </w:t>
            </w:r>
            <w:r w:rsidR="00ED2273">
              <w:rPr>
                <w:rFonts w:ascii="Arial" w:hAnsi="Arial" w:cs="Arial"/>
                <w:b/>
                <w:bCs/>
                <w:sz w:val="20"/>
                <w:szCs w:val="20"/>
              </w:rPr>
              <w:t>Login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888F8" w14:textId="7A2D24D9" w:rsidR="00ED2273" w:rsidRDefault="00D46A67" w:rsidP="007D1A1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Log into </w:t>
            </w:r>
            <w:r w:rsidR="007D1A1D">
              <w:rPr>
                <w:rFonts w:ascii="Arial" w:hAnsi="Arial" w:cs="Arial"/>
                <w:noProof/>
                <w:sz w:val="20"/>
                <w:szCs w:val="20"/>
              </w:rPr>
              <w:t>WebNow</w:t>
            </w:r>
            <w:r w:rsidR="00ED2273">
              <w:rPr>
                <w:rFonts w:ascii="Arial" w:hAnsi="Arial" w:cs="Arial"/>
                <w:noProof/>
                <w:sz w:val="20"/>
                <w:szCs w:val="20"/>
              </w:rPr>
              <w:t xml:space="preserve"> using your Purdue Career Login Credentials. </w:t>
            </w:r>
            <w:r w:rsidR="007D1A1D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hyperlink r:id="rId12" w:history="1">
              <w:r w:rsidR="007D1A1D" w:rsidRPr="000F2187">
                <w:rPr>
                  <w:rStyle w:val="Hyperlink"/>
                  <w:rFonts w:ascii="Arial" w:hAnsi="Arial" w:cs="Arial"/>
                  <w:noProof/>
                  <w:sz w:val="20"/>
                  <w:szCs w:val="20"/>
                </w:rPr>
                <w:t>https://cm.itap.purdue.edu/webnow/</w:t>
              </w:r>
            </w:hyperlink>
            <w:r w:rsidR="007D1A1D">
              <w:rPr>
                <w:rFonts w:ascii="Arial" w:hAnsi="Arial" w:cs="Arial"/>
                <w:noProof/>
                <w:sz w:val="20"/>
                <w:szCs w:val="20"/>
              </w:rPr>
              <w:t xml:space="preserve">) </w:t>
            </w:r>
          </w:p>
        </w:tc>
      </w:tr>
      <w:tr w:rsidR="001A159E" w:rsidRPr="007F46D0" w14:paraId="1160D5F2" w14:textId="77777777" w:rsidTr="00A779A6">
        <w:tc>
          <w:tcPr>
            <w:tcW w:w="317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9BDF52" w14:textId="5BB89B43" w:rsidR="001A159E" w:rsidRDefault="001A159E" w:rsidP="007F46D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D47C9" w14:textId="259E123D" w:rsidR="001A159E" w:rsidRDefault="00A779A6" w:rsidP="003531F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You can also get to Perceptive Content using from GMGRANTD in SAP.</w:t>
            </w:r>
            <w:r w:rsidR="00187B19">
              <w:rPr>
                <w:rFonts w:ascii="Arial" w:hAnsi="Arial" w:cs="Arial"/>
                <w:noProof/>
                <w:sz w:val="20"/>
                <w:szCs w:val="20"/>
              </w:rPr>
              <w:t xml:space="preserve"> Click on the ‘View Documents in WebNow’ and it will take you directly to all the documents in Perceptive Content for that grant.</w:t>
            </w:r>
          </w:p>
          <w:p w14:paraId="05D32C8D" w14:textId="2AEF6BB9" w:rsidR="00A779A6" w:rsidRDefault="00187B19" w:rsidP="003531F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045786" wp14:editId="479E75D0">
                  <wp:extent cx="3676190" cy="695238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190" cy="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9A6" w:rsidRPr="007F46D0" w14:paraId="7DDBA5A4" w14:textId="77777777" w:rsidTr="00A779A6"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E3156" w14:textId="29BA93AB" w:rsidR="00A779A6" w:rsidRPr="007F46D0" w:rsidRDefault="00A779A6" w:rsidP="00A779A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Selection Criteria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3F83E" w14:textId="77777777" w:rsidR="00A779A6" w:rsidRDefault="00A779A6" w:rsidP="00A779A6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You can search by grant number proposal number or perform a content search.</w:t>
            </w:r>
          </w:p>
          <w:p w14:paraId="093B17E1" w14:textId="77777777" w:rsidR="00A779A6" w:rsidRDefault="00A779A6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D4143C" wp14:editId="12194393">
                  <wp:extent cx="1838095" cy="26380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095" cy="2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970E715" w14:textId="125C16C9" w:rsidR="00A779A6" w:rsidRDefault="00A779A6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Enter grant number:</w:t>
            </w:r>
          </w:p>
          <w:p w14:paraId="71E2D67D" w14:textId="77777777" w:rsidR="00A779A6" w:rsidRDefault="00A779A6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8E8EFC" wp14:editId="3050E2FC">
                  <wp:extent cx="2865688" cy="1018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67" cy="10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F692D" w14:textId="77777777" w:rsidR="00A779A6" w:rsidRDefault="00A779A6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Or</w:t>
            </w:r>
          </w:p>
          <w:p w14:paraId="170A560C" w14:textId="0A3D39CF" w:rsidR="00A779A6" w:rsidRDefault="00A779A6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Enter proposal number:</w:t>
            </w:r>
          </w:p>
          <w:p w14:paraId="74ABD049" w14:textId="2C37EE7C" w:rsidR="00187B19" w:rsidRDefault="00187B19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C4D1C7" wp14:editId="31B0AB1E">
                  <wp:extent cx="2713355" cy="104708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247" cy="105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0C468" w14:textId="1A9EC701" w:rsidR="00A779A6" w:rsidRPr="007F46D0" w:rsidRDefault="00A779A6" w:rsidP="00A779A6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31FD" w:rsidRPr="007F46D0" w14:paraId="5748FBC5" w14:textId="77777777" w:rsidTr="00A779A6"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E78F0" w14:textId="3AD2DF48" w:rsidR="003531FD" w:rsidRPr="007F46D0" w:rsidRDefault="00A779A6" w:rsidP="00A779A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Grant File 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44E0" w14:textId="3EA88967" w:rsidR="00A779A6" w:rsidRDefault="00A779A6" w:rsidP="003531FD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All documents are displayed for that grant. </w:t>
            </w:r>
            <w:r w:rsidR="00187B19">
              <w:rPr>
                <w:noProof/>
              </w:rPr>
              <w:t>See the Spreadsheet for Document Type definitions.</w:t>
            </w:r>
          </w:p>
          <w:p w14:paraId="6FF00849" w14:textId="667ABA39" w:rsidR="00A779A6" w:rsidRDefault="00A779A6" w:rsidP="003531FD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471785" wp14:editId="7B5DF1A0">
                  <wp:extent cx="5943600" cy="241617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9DD3C" w14:textId="4E51DD04" w:rsidR="00A779A6" w:rsidRPr="007F46D0" w:rsidRDefault="00A779A6" w:rsidP="003531FD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C37FDB4" w14:textId="798EA558" w:rsidR="00233BF8" w:rsidRPr="00A36FEB" w:rsidRDefault="00233BF8" w:rsidP="00A36FEB">
      <w:pPr>
        <w:tabs>
          <w:tab w:val="left" w:pos="6405"/>
        </w:tabs>
        <w:rPr>
          <w:rFonts w:ascii="Verdana" w:hAnsi="Verdana" w:cs="Arial"/>
          <w:sz w:val="20"/>
          <w:szCs w:val="20"/>
        </w:rPr>
      </w:pPr>
    </w:p>
    <w:sectPr w:rsidR="00233BF8" w:rsidRPr="00A36FEB" w:rsidSect="00187B19">
      <w:headerReference w:type="default" r:id="rId18"/>
      <w:footerReference w:type="default" r:id="rId19"/>
      <w:pgSz w:w="12240" w:h="15840"/>
      <w:pgMar w:top="288" w:right="720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B16D8" w14:textId="77777777" w:rsidR="00825B64" w:rsidRDefault="00825B64" w:rsidP="00654D65">
      <w:pPr>
        <w:spacing w:after="0" w:line="240" w:lineRule="auto"/>
      </w:pPr>
      <w:r>
        <w:separator/>
      </w:r>
    </w:p>
  </w:endnote>
  <w:endnote w:type="continuationSeparator" w:id="0">
    <w:p w14:paraId="25419847" w14:textId="77777777" w:rsidR="00825B64" w:rsidRDefault="00825B64" w:rsidP="006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FDBF" w14:textId="168755EA" w:rsidR="002A52E6" w:rsidRPr="0071497E" w:rsidRDefault="00024F41" w:rsidP="00D151F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2015</w:t>
    </w:r>
    <w:r w:rsidR="002A52E6" w:rsidRPr="0071497E">
      <w:rPr>
        <w:rFonts w:ascii="Arial" w:hAnsi="Arial" w:cs="Arial"/>
        <w:sz w:val="16"/>
        <w:szCs w:val="16"/>
      </w:rPr>
      <w:t xml:space="preserve"> Purdue University</w:t>
    </w:r>
  </w:p>
  <w:p w14:paraId="5CADC044" w14:textId="2D0A9B6C" w:rsidR="00187B19" w:rsidRPr="0071497E" w:rsidRDefault="002A52E6" w:rsidP="00187B19">
    <w:pPr>
      <w:pStyle w:val="Footer"/>
      <w:jc w:val="center"/>
      <w:rPr>
        <w:rFonts w:ascii="Arial" w:hAnsi="Arial" w:cs="Arial"/>
        <w:sz w:val="16"/>
        <w:szCs w:val="16"/>
      </w:rPr>
    </w:pPr>
    <w:r w:rsidRPr="0071497E">
      <w:rPr>
        <w:rFonts w:ascii="Arial" w:hAnsi="Arial" w:cs="Arial"/>
        <w:sz w:val="16"/>
        <w:szCs w:val="16"/>
      </w:rPr>
      <w:t>Last Updated</w:t>
    </w:r>
    <w:r w:rsidR="001A5121">
      <w:rPr>
        <w:rFonts w:ascii="Arial" w:hAnsi="Arial" w:cs="Arial"/>
        <w:sz w:val="16"/>
        <w:szCs w:val="16"/>
      </w:rPr>
      <w:t xml:space="preserve"> </w:t>
    </w:r>
    <w:r w:rsidR="00187B19">
      <w:rPr>
        <w:rFonts w:ascii="Arial" w:hAnsi="Arial" w:cs="Arial"/>
        <w:sz w:val="16"/>
        <w:szCs w:val="16"/>
      </w:rPr>
      <w:t>12</w:t>
    </w:r>
    <w:r w:rsidR="00D46A67">
      <w:rPr>
        <w:rFonts w:ascii="Arial" w:hAnsi="Arial" w:cs="Arial"/>
        <w:sz w:val="16"/>
        <w:szCs w:val="16"/>
      </w:rPr>
      <w:t>/</w:t>
    </w:r>
    <w:r w:rsidR="00187B19">
      <w:rPr>
        <w:rFonts w:ascii="Arial" w:hAnsi="Arial" w:cs="Arial"/>
        <w:sz w:val="16"/>
        <w:szCs w:val="16"/>
      </w:rPr>
      <w:t>2/2016, SMC</w:t>
    </w:r>
  </w:p>
  <w:p w14:paraId="0C37FDC1" w14:textId="53F7F15F" w:rsidR="002A52E6" w:rsidRPr="005F418F" w:rsidRDefault="002A52E6" w:rsidP="0071497E">
    <w:pPr>
      <w:pStyle w:val="Footer"/>
      <w:jc w:val="center"/>
      <w:rPr>
        <w:rFonts w:ascii="Verdana" w:hAnsi="Verdana" w:cs="Arial"/>
        <w:sz w:val="20"/>
        <w:szCs w:val="20"/>
      </w:rPr>
    </w:pPr>
    <w:r w:rsidRPr="0071497E">
      <w:rPr>
        <w:rFonts w:ascii="Arial" w:hAnsi="Arial" w:cs="Arial"/>
        <w:noProof/>
        <w:sz w:val="16"/>
        <w:szCs w:val="16"/>
      </w:rPr>
      <w:t xml:space="preserve">Page </w:t>
    </w:r>
    <w:r w:rsidRPr="0071497E">
      <w:rPr>
        <w:rFonts w:ascii="Arial" w:hAnsi="Arial" w:cs="Arial"/>
        <w:b/>
        <w:noProof/>
        <w:sz w:val="16"/>
        <w:szCs w:val="16"/>
      </w:rPr>
      <w:fldChar w:fldCharType="begin"/>
    </w:r>
    <w:r w:rsidRPr="0071497E">
      <w:rPr>
        <w:rFonts w:ascii="Arial" w:hAnsi="Arial"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ascii="Arial" w:hAnsi="Arial" w:cs="Arial"/>
        <w:b/>
        <w:noProof/>
        <w:sz w:val="16"/>
        <w:szCs w:val="16"/>
      </w:rPr>
      <w:fldChar w:fldCharType="separate"/>
    </w:r>
    <w:r w:rsidR="00187B19">
      <w:rPr>
        <w:rFonts w:ascii="Arial" w:hAnsi="Arial" w:cs="Arial"/>
        <w:b/>
        <w:noProof/>
        <w:sz w:val="16"/>
        <w:szCs w:val="16"/>
      </w:rPr>
      <w:t>2</w:t>
    </w:r>
    <w:r w:rsidRPr="0071497E">
      <w:rPr>
        <w:rFonts w:ascii="Arial" w:hAnsi="Arial" w:cs="Arial"/>
        <w:b/>
        <w:noProof/>
        <w:sz w:val="16"/>
        <w:szCs w:val="16"/>
      </w:rPr>
      <w:fldChar w:fldCharType="end"/>
    </w:r>
    <w:r w:rsidRPr="0071497E">
      <w:rPr>
        <w:rFonts w:ascii="Arial" w:hAnsi="Arial" w:cs="Arial"/>
        <w:noProof/>
        <w:sz w:val="16"/>
        <w:szCs w:val="16"/>
      </w:rPr>
      <w:t xml:space="preserve"> of </w:t>
    </w:r>
    <w:r w:rsidRPr="0071497E">
      <w:rPr>
        <w:rFonts w:ascii="Arial" w:hAnsi="Arial" w:cs="Arial"/>
        <w:b/>
        <w:noProof/>
        <w:sz w:val="16"/>
        <w:szCs w:val="16"/>
      </w:rPr>
      <w:fldChar w:fldCharType="begin"/>
    </w:r>
    <w:r w:rsidRPr="0071497E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ascii="Arial" w:hAnsi="Arial" w:cs="Arial"/>
        <w:b/>
        <w:noProof/>
        <w:sz w:val="16"/>
        <w:szCs w:val="16"/>
      </w:rPr>
      <w:fldChar w:fldCharType="separate"/>
    </w:r>
    <w:r w:rsidR="00187B19">
      <w:rPr>
        <w:rFonts w:ascii="Arial" w:hAnsi="Arial" w:cs="Arial"/>
        <w:b/>
        <w:noProof/>
        <w:sz w:val="16"/>
        <w:szCs w:val="16"/>
      </w:rPr>
      <w:t>2</w:t>
    </w:r>
    <w:r w:rsidRPr="0071497E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EBB4" w14:textId="77777777" w:rsidR="00825B64" w:rsidRDefault="00825B64" w:rsidP="00654D65">
      <w:pPr>
        <w:spacing w:after="0" w:line="240" w:lineRule="auto"/>
      </w:pPr>
      <w:r>
        <w:separator/>
      </w:r>
    </w:p>
  </w:footnote>
  <w:footnote w:type="continuationSeparator" w:id="0">
    <w:p w14:paraId="7A11B825" w14:textId="77777777" w:rsidR="00825B64" w:rsidRDefault="00825B64" w:rsidP="006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47"/>
      <w:gridCol w:w="7453"/>
    </w:tblGrid>
    <w:tr w:rsidR="002A52E6" w:rsidRPr="00D80104" w14:paraId="0C37FDBD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0C37FDB9" w14:textId="2909450B" w:rsidR="002A52E6" w:rsidRPr="00D80104" w:rsidRDefault="009B3B1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0C37FDC2" wp14:editId="1288E6C1">
                <wp:extent cx="1809750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0C37FDBA" w14:textId="77777777" w:rsidR="002A52E6" w:rsidRPr="00D80104" w:rsidRDefault="002A52E6" w:rsidP="00233BF8">
          <w:pPr>
            <w:pStyle w:val="Header"/>
            <w:tabs>
              <w:tab w:val="left" w:pos="180"/>
            </w:tabs>
            <w:jc w:val="right"/>
            <w:rPr>
              <w:rFonts w:ascii="Arial" w:hAnsi="Arial"/>
              <w:b/>
              <w:i/>
              <w:iCs/>
              <w:color w:val="B1946C"/>
              <w:sz w:val="28"/>
              <w:szCs w:val="28"/>
            </w:rPr>
          </w:pPr>
        </w:p>
        <w:p w14:paraId="0C37FDBB" w14:textId="77777777" w:rsidR="002A52E6" w:rsidRPr="00D80104" w:rsidRDefault="002A52E6" w:rsidP="00233BF8">
          <w:pPr>
            <w:pStyle w:val="Header"/>
            <w:tabs>
              <w:tab w:val="left" w:pos="180"/>
            </w:tabs>
            <w:jc w:val="right"/>
            <w:rPr>
              <w:rFonts w:ascii="Arial" w:hAnsi="Arial"/>
              <w:b/>
              <w:bCs/>
              <w:i/>
              <w:iCs/>
              <w:color w:val="B1946C"/>
              <w:sz w:val="28"/>
              <w:szCs w:val="28"/>
            </w:rPr>
          </w:pPr>
          <w:r w:rsidRPr="00D80104">
            <w:rPr>
              <w:rFonts w:ascii="Arial" w:hAnsi="Arial"/>
              <w:b/>
              <w:i/>
              <w:iCs/>
              <w:color w:val="B1946C"/>
              <w:sz w:val="28"/>
              <w:szCs w:val="28"/>
            </w:rPr>
            <w:t>Quick Reference Card</w:t>
          </w:r>
        </w:p>
        <w:p w14:paraId="0C37FDBC" w14:textId="1872CD9C" w:rsidR="002A52E6" w:rsidRPr="00D80104" w:rsidRDefault="00D46A67" w:rsidP="00A779A6">
          <w:pPr>
            <w:pStyle w:val="Header"/>
            <w:jc w:val="right"/>
            <w:rPr>
              <w:rFonts w:ascii="Arial" w:hAnsi="Arial"/>
              <w:b/>
              <w:bCs/>
              <w:i/>
              <w:iCs/>
              <w:color w:val="B1946C"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Perceptive Content</w:t>
          </w:r>
          <w:r w:rsidR="00024F41">
            <w:rPr>
              <w:rFonts w:ascii="Arial" w:hAnsi="Arial"/>
              <w:b/>
              <w:sz w:val="28"/>
              <w:szCs w:val="28"/>
            </w:rPr>
            <w:t xml:space="preserve"> </w:t>
          </w:r>
          <w:r w:rsidR="00A779A6">
            <w:rPr>
              <w:rFonts w:ascii="Arial" w:hAnsi="Arial"/>
              <w:b/>
              <w:sz w:val="28"/>
              <w:szCs w:val="28"/>
            </w:rPr>
            <w:t>Grant File Search</w:t>
          </w:r>
        </w:p>
      </w:tc>
    </w:tr>
  </w:tbl>
  <w:p w14:paraId="0C37FDBE" w14:textId="70FFDB83" w:rsidR="002A52E6" w:rsidRPr="002A398A" w:rsidRDefault="009B3B13" w:rsidP="00233BF8">
    <w:pPr>
      <w:pStyle w:val="Header"/>
      <w:tabs>
        <w:tab w:val="clear" w:pos="9360"/>
        <w:tab w:val="left" w:pos="51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37FDC3" wp14:editId="13319A79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1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wI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1"/>
    <w:rsid w:val="00012E87"/>
    <w:rsid w:val="00016CC6"/>
    <w:rsid w:val="00024F41"/>
    <w:rsid w:val="00025876"/>
    <w:rsid w:val="00033280"/>
    <w:rsid w:val="00044910"/>
    <w:rsid w:val="0007250E"/>
    <w:rsid w:val="00085925"/>
    <w:rsid w:val="00090075"/>
    <w:rsid w:val="000A3F3B"/>
    <w:rsid w:val="000C7041"/>
    <w:rsid w:val="000D1E7F"/>
    <w:rsid w:val="00124121"/>
    <w:rsid w:val="00126965"/>
    <w:rsid w:val="00143306"/>
    <w:rsid w:val="00147F5F"/>
    <w:rsid w:val="00157872"/>
    <w:rsid w:val="00162373"/>
    <w:rsid w:val="00180197"/>
    <w:rsid w:val="00183561"/>
    <w:rsid w:val="00187B19"/>
    <w:rsid w:val="00194CF7"/>
    <w:rsid w:val="001A159E"/>
    <w:rsid w:val="001A5121"/>
    <w:rsid w:val="001D7827"/>
    <w:rsid w:val="001F4121"/>
    <w:rsid w:val="0020089F"/>
    <w:rsid w:val="00215F41"/>
    <w:rsid w:val="00225097"/>
    <w:rsid w:val="002305CB"/>
    <w:rsid w:val="00233BF8"/>
    <w:rsid w:val="00234BA3"/>
    <w:rsid w:val="00237E23"/>
    <w:rsid w:val="0024085A"/>
    <w:rsid w:val="00241DCC"/>
    <w:rsid w:val="0024702B"/>
    <w:rsid w:val="00250B2D"/>
    <w:rsid w:val="00250E9C"/>
    <w:rsid w:val="00252DB6"/>
    <w:rsid w:val="0025402C"/>
    <w:rsid w:val="00283581"/>
    <w:rsid w:val="002A398A"/>
    <w:rsid w:val="002A52E6"/>
    <w:rsid w:val="002C79EB"/>
    <w:rsid w:val="002E2EF4"/>
    <w:rsid w:val="002F1E51"/>
    <w:rsid w:val="00322A9D"/>
    <w:rsid w:val="00342F5C"/>
    <w:rsid w:val="003453FF"/>
    <w:rsid w:val="00351726"/>
    <w:rsid w:val="003531FD"/>
    <w:rsid w:val="00370D05"/>
    <w:rsid w:val="00373A2C"/>
    <w:rsid w:val="00387071"/>
    <w:rsid w:val="003A083D"/>
    <w:rsid w:val="003A2A48"/>
    <w:rsid w:val="003B166D"/>
    <w:rsid w:val="003C30B6"/>
    <w:rsid w:val="003C6479"/>
    <w:rsid w:val="00413674"/>
    <w:rsid w:val="004177B6"/>
    <w:rsid w:val="00420F56"/>
    <w:rsid w:val="00435195"/>
    <w:rsid w:val="0044606D"/>
    <w:rsid w:val="00480A1B"/>
    <w:rsid w:val="004A069D"/>
    <w:rsid w:val="004C2B94"/>
    <w:rsid w:val="004D56E9"/>
    <w:rsid w:val="00501B21"/>
    <w:rsid w:val="005656FD"/>
    <w:rsid w:val="00570A82"/>
    <w:rsid w:val="00576908"/>
    <w:rsid w:val="00583DE9"/>
    <w:rsid w:val="005864F4"/>
    <w:rsid w:val="005C3709"/>
    <w:rsid w:val="005C5C86"/>
    <w:rsid w:val="005D2BC0"/>
    <w:rsid w:val="005D301D"/>
    <w:rsid w:val="005F1C7C"/>
    <w:rsid w:val="005F418F"/>
    <w:rsid w:val="0060170F"/>
    <w:rsid w:val="006102D0"/>
    <w:rsid w:val="00611712"/>
    <w:rsid w:val="00622D87"/>
    <w:rsid w:val="006545CA"/>
    <w:rsid w:val="00654D65"/>
    <w:rsid w:val="006643E6"/>
    <w:rsid w:val="006676BB"/>
    <w:rsid w:val="00670AAD"/>
    <w:rsid w:val="006735D0"/>
    <w:rsid w:val="0069607F"/>
    <w:rsid w:val="006B787A"/>
    <w:rsid w:val="006C5073"/>
    <w:rsid w:val="006D13BA"/>
    <w:rsid w:val="006E476D"/>
    <w:rsid w:val="006E60AF"/>
    <w:rsid w:val="006F0880"/>
    <w:rsid w:val="00705149"/>
    <w:rsid w:val="00714336"/>
    <w:rsid w:val="0071497E"/>
    <w:rsid w:val="007331E4"/>
    <w:rsid w:val="0073327C"/>
    <w:rsid w:val="0073388E"/>
    <w:rsid w:val="00746E7E"/>
    <w:rsid w:val="00783AB8"/>
    <w:rsid w:val="00795D27"/>
    <w:rsid w:val="007B0E7A"/>
    <w:rsid w:val="007C383C"/>
    <w:rsid w:val="007D1A1D"/>
    <w:rsid w:val="007D3FBF"/>
    <w:rsid w:val="007F46D0"/>
    <w:rsid w:val="00821AB6"/>
    <w:rsid w:val="00823662"/>
    <w:rsid w:val="00825B64"/>
    <w:rsid w:val="008473AC"/>
    <w:rsid w:val="00847F5C"/>
    <w:rsid w:val="008911E4"/>
    <w:rsid w:val="00891AFE"/>
    <w:rsid w:val="008923D7"/>
    <w:rsid w:val="00892407"/>
    <w:rsid w:val="008B61C3"/>
    <w:rsid w:val="008C16E6"/>
    <w:rsid w:val="008D0D08"/>
    <w:rsid w:val="008E1D9A"/>
    <w:rsid w:val="008F487D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65170"/>
    <w:rsid w:val="009B3B13"/>
    <w:rsid w:val="009C43D1"/>
    <w:rsid w:val="009C4C9E"/>
    <w:rsid w:val="009D4A9D"/>
    <w:rsid w:val="009D7DE5"/>
    <w:rsid w:val="009E6409"/>
    <w:rsid w:val="00A00199"/>
    <w:rsid w:val="00A06257"/>
    <w:rsid w:val="00A15876"/>
    <w:rsid w:val="00A1670D"/>
    <w:rsid w:val="00A36FEB"/>
    <w:rsid w:val="00A41BA9"/>
    <w:rsid w:val="00A41DD4"/>
    <w:rsid w:val="00A47925"/>
    <w:rsid w:val="00A5051B"/>
    <w:rsid w:val="00A57BC5"/>
    <w:rsid w:val="00A60886"/>
    <w:rsid w:val="00A65B37"/>
    <w:rsid w:val="00A779A6"/>
    <w:rsid w:val="00AA5B3E"/>
    <w:rsid w:val="00AA717C"/>
    <w:rsid w:val="00AD54F6"/>
    <w:rsid w:val="00AE7834"/>
    <w:rsid w:val="00AF3B7E"/>
    <w:rsid w:val="00B03079"/>
    <w:rsid w:val="00B07441"/>
    <w:rsid w:val="00B30D4C"/>
    <w:rsid w:val="00B402E2"/>
    <w:rsid w:val="00B63AF0"/>
    <w:rsid w:val="00B80426"/>
    <w:rsid w:val="00B807CA"/>
    <w:rsid w:val="00B96AD9"/>
    <w:rsid w:val="00BA2552"/>
    <w:rsid w:val="00BB042E"/>
    <w:rsid w:val="00BC7F74"/>
    <w:rsid w:val="00BE4023"/>
    <w:rsid w:val="00BE62E8"/>
    <w:rsid w:val="00C016C5"/>
    <w:rsid w:val="00C1525F"/>
    <w:rsid w:val="00C2024F"/>
    <w:rsid w:val="00C21B4B"/>
    <w:rsid w:val="00C22128"/>
    <w:rsid w:val="00C27928"/>
    <w:rsid w:val="00C41818"/>
    <w:rsid w:val="00C42E44"/>
    <w:rsid w:val="00CB2458"/>
    <w:rsid w:val="00CB4AAD"/>
    <w:rsid w:val="00CE193B"/>
    <w:rsid w:val="00CE4ECB"/>
    <w:rsid w:val="00D151F3"/>
    <w:rsid w:val="00D25974"/>
    <w:rsid w:val="00D34F42"/>
    <w:rsid w:val="00D46A67"/>
    <w:rsid w:val="00D50069"/>
    <w:rsid w:val="00D700A3"/>
    <w:rsid w:val="00D80104"/>
    <w:rsid w:val="00D923B5"/>
    <w:rsid w:val="00D95CC3"/>
    <w:rsid w:val="00D96778"/>
    <w:rsid w:val="00DC430C"/>
    <w:rsid w:val="00DD159C"/>
    <w:rsid w:val="00DD178C"/>
    <w:rsid w:val="00DE6E60"/>
    <w:rsid w:val="00DF3E4C"/>
    <w:rsid w:val="00E7436B"/>
    <w:rsid w:val="00E76CCE"/>
    <w:rsid w:val="00E80643"/>
    <w:rsid w:val="00E86CEA"/>
    <w:rsid w:val="00EA03FD"/>
    <w:rsid w:val="00EA6B6C"/>
    <w:rsid w:val="00EB3A21"/>
    <w:rsid w:val="00EB54DE"/>
    <w:rsid w:val="00EC23C2"/>
    <w:rsid w:val="00ED2273"/>
    <w:rsid w:val="00F05C2E"/>
    <w:rsid w:val="00F347CD"/>
    <w:rsid w:val="00F844E9"/>
    <w:rsid w:val="00FB0C47"/>
    <w:rsid w:val="00FB1CEF"/>
    <w:rsid w:val="00FB3BE3"/>
    <w:rsid w:val="00FB440A"/>
    <w:rsid w:val="00FB4FD7"/>
    <w:rsid w:val="00FE60E7"/>
    <w:rsid w:val="00FF1CAF"/>
    <w:rsid w:val="00FF5F10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37FD69"/>
  <w15:docId w15:val="{0D14E11A-F2B3-4BD9-B0A9-CA9EDAF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7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7C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7C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7CD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7C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347C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347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347C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F347C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7C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347C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347CD"/>
    <w:rPr>
      <w:b/>
      <w:bCs/>
    </w:rPr>
  </w:style>
  <w:style w:type="character" w:styleId="Emphasis">
    <w:name w:val="Emphasis"/>
    <w:uiPriority w:val="20"/>
    <w:qFormat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4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qFormat/>
    <w:rsid w:val="00F347CD"/>
    <w:rPr>
      <w:i/>
      <w:iCs/>
    </w:rPr>
  </w:style>
  <w:style w:type="character" w:styleId="IntenseEmphasis">
    <w:name w:val="Intense Emphasis"/>
    <w:uiPriority w:val="21"/>
    <w:qFormat/>
    <w:rsid w:val="00F347CD"/>
    <w:rPr>
      <w:b/>
      <w:bCs/>
    </w:rPr>
  </w:style>
  <w:style w:type="character" w:styleId="SubtleReference">
    <w:name w:val="Subtle Reference"/>
    <w:uiPriority w:val="31"/>
    <w:qFormat/>
    <w:rsid w:val="00F347CD"/>
    <w:rPr>
      <w:smallCaps/>
    </w:rPr>
  </w:style>
  <w:style w:type="character" w:styleId="IntenseReference">
    <w:name w:val="Intense Reference"/>
    <w:uiPriority w:val="32"/>
    <w:qFormat/>
    <w:rsid w:val="00F347CD"/>
    <w:rPr>
      <w:smallCaps/>
      <w:spacing w:val="5"/>
      <w:u w:val="single"/>
    </w:rPr>
  </w:style>
  <w:style w:type="character" w:styleId="BookTitle">
    <w:name w:val="Book Title"/>
    <w:uiPriority w:val="33"/>
    <w:qFormat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m.itap.purdue.edu/webnow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lawson\Local%20Settings\Temporary%20Internet%20Files\Content.Outlook\IG5FXCTC\TemplateForB@PProces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00CB63BA6054D9FA76B150F8BECC6" ma:contentTypeVersion="0" ma:contentTypeDescription="Create a new document." ma:contentTypeScope="" ma:versionID="efa93e84a043e909ab9de3b6528cd1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76308-DF2D-4756-8F9C-48EF42269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9EA30-835A-4B51-AAA9-0C45AAA399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C43ED2-F198-40FF-A99E-2D25C7E6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TemplateForB@PProcesses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ProcessTemplate</vt:lpstr>
    </vt:vector>
  </TitlesOfParts>
  <Company>Purdue University</Company>
  <LinksUpToDate>false</LinksUpToDate>
  <CharactersWithSpaces>770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ProcessTemplate</dc:title>
  <dc:creator>vjbrant</dc:creator>
  <cp:lastModifiedBy>Corwin, Susan M</cp:lastModifiedBy>
  <cp:revision>2</cp:revision>
  <cp:lastPrinted>2015-06-29T13:02:00Z</cp:lastPrinted>
  <dcterms:created xsi:type="dcterms:W3CDTF">2016-12-02T19:46:00Z</dcterms:created>
  <dcterms:modified xsi:type="dcterms:W3CDTF">2016-12-02T19:46:00Z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0x01010018200CB63BA6054D9FA76B150F8BECC6</vt:lpwstr>
  </property>
</Properties>
</file>