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8DE03F" w14:textId="77777777" w:rsidR="00DD18DB" w:rsidRDefault="00817F70">
      <w:pPr>
        <w:pStyle w:val="Heading1"/>
        <w:spacing w:line="644" w:lineRule="exact"/>
      </w:pPr>
      <w:r>
        <w:rPr>
          <w:color w:val="8E6E3D"/>
        </w:rPr>
        <w:t>Prior</w:t>
      </w:r>
      <w:r>
        <w:rPr>
          <w:color w:val="8E6E3D"/>
          <w:spacing w:val="-11"/>
        </w:rPr>
        <w:t xml:space="preserve"> </w:t>
      </w:r>
      <w:r>
        <w:rPr>
          <w:color w:val="8E6E3D"/>
        </w:rPr>
        <w:t>Approval</w:t>
      </w:r>
      <w:r>
        <w:rPr>
          <w:color w:val="8E6E3D"/>
          <w:spacing w:val="-8"/>
        </w:rPr>
        <w:t xml:space="preserve"> </w:t>
      </w:r>
      <w:r>
        <w:rPr>
          <w:color w:val="8E6E3D"/>
        </w:rPr>
        <w:t>of</w:t>
      </w:r>
      <w:r>
        <w:rPr>
          <w:color w:val="8E6E3D"/>
          <w:spacing w:val="-9"/>
        </w:rPr>
        <w:t xml:space="preserve"> </w:t>
      </w:r>
      <w:r>
        <w:rPr>
          <w:color w:val="8E6E3D"/>
        </w:rPr>
        <w:t>Proposals</w:t>
      </w:r>
      <w:r>
        <w:rPr>
          <w:color w:val="8E6E3D"/>
          <w:spacing w:val="-9"/>
        </w:rPr>
        <w:t xml:space="preserve"> </w:t>
      </w:r>
      <w:r>
        <w:rPr>
          <w:color w:val="8E6E3D"/>
        </w:rPr>
        <w:t>and</w:t>
      </w:r>
      <w:r>
        <w:rPr>
          <w:color w:val="8E6E3D"/>
          <w:spacing w:val="-8"/>
        </w:rPr>
        <w:t xml:space="preserve"> </w:t>
      </w:r>
      <w:r>
        <w:rPr>
          <w:color w:val="8E6E3D"/>
          <w:spacing w:val="-4"/>
        </w:rPr>
        <w:t>Post</w:t>
      </w:r>
    </w:p>
    <w:p w14:paraId="458DE040" w14:textId="77777777" w:rsidR="00DD18DB" w:rsidRDefault="00817F70">
      <w:pPr>
        <w:spacing w:before="108"/>
        <w:ind w:left="359"/>
        <w:jc w:val="center"/>
        <w:rPr>
          <w:b/>
          <w:sz w:val="56"/>
        </w:rPr>
      </w:pPr>
      <w:r>
        <w:rPr>
          <w:b/>
          <w:color w:val="8E6E3D"/>
          <w:sz w:val="56"/>
        </w:rPr>
        <w:t>Award</w:t>
      </w:r>
      <w:r>
        <w:rPr>
          <w:b/>
          <w:color w:val="8E6E3D"/>
          <w:spacing w:val="-16"/>
          <w:sz w:val="56"/>
        </w:rPr>
        <w:t xml:space="preserve"> </w:t>
      </w:r>
      <w:r>
        <w:rPr>
          <w:b/>
          <w:color w:val="8E6E3D"/>
          <w:spacing w:val="-2"/>
          <w:sz w:val="56"/>
        </w:rPr>
        <w:t>Activity</w:t>
      </w:r>
    </w:p>
    <w:p w14:paraId="458DE041" w14:textId="77777777" w:rsidR="00DD18DB" w:rsidRDefault="00817F70">
      <w:pPr>
        <w:pStyle w:val="BodyText"/>
        <w:spacing w:before="447" w:line="278" w:lineRule="auto"/>
        <w:ind w:left="358" w:firstLine="1"/>
      </w:pPr>
      <w:r>
        <w:t>The Huron Research Suite (HRS), branded as the Purdue Excellence in Research Administration (PERA), is not conﬁgured in a way that allows routing of proposals and post award prior approvals to unit leads before submission to the sponsor without invoking manual workﬂow steps. To help address this issue, and to align with the strategic objective of reducing administrative signatures to a minimum, procedures have been established to ensure funding commitments and special review</w:t>
      </w:r>
      <w:r>
        <w:rPr>
          <w:spacing w:val="-2"/>
        </w:rPr>
        <w:t xml:space="preserve"> </w:t>
      </w:r>
      <w:r>
        <w:t>items</w:t>
      </w:r>
      <w:r>
        <w:rPr>
          <w:spacing w:val="-2"/>
        </w:rPr>
        <w:t xml:space="preserve"> </w:t>
      </w:r>
      <w:r>
        <w:t>are</w:t>
      </w:r>
      <w:r>
        <w:rPr>
          <w:spacing w:val="-2"/>
        </w:rPr>
        <w:t xml:space="preserve"> </w:t>
      </w:r>
      <w:r>
        <w:t>elevated</w:t>
      </w:r>
      <w:r>
        <w:rPr>
          <w:spacing w:val="-3"/>
        </w:rPr>
        <w:t xml:space="preserve"> </w:t>
      </w:r>
      <w:r>
        <w:t>to</w:t>
      </w:r>
      <w:r>
        <w:rPr>
          <w:spacing w:val="-2"/>
        </w:rPr>
        <w:t xml:space="preserve"> </w:t>
      </w:r>
      <w:r>
        <w:t>department</w:t>
      </w:r>
      <w:r>
        <w:rPr>
          <w:spacing w:val="-1"/>
        </w:rPr>
        <w:t xml:space="preserve"> </w:t>
      </w:r>
      <w:r>
        <w:t>heads</w:t>
      </w:r>
      <w:r>
        <w:rPr>
          <w:spacing w:val="-2"/>
        </w:rPr>
        <w:t xml:space="preserve"> </w:t>
      </w:r>
      <w:r>
        <w:t>and</w:t>
      </w:r>
      <w:r>
        <w:rPr>
          <w:spacing w:val="-3"/>
        </w:rPr>
        <w:t xml:space="preserve"> </w:t>
      </w:r>
      <w:r>
        <w:t>deans</w:t>
      </w:r>
      <w:r>
        <w:rPr>
          <w:spacing w:val="-2"/>
        </w:rPr>
        <w:t xml:space="preserve"> </w:t>
      </w:r>
      <w:r>
        <w:t>before</w:t>
      </w:r>
      <w:r>
        <w:rPr>
          <w:spacing w:val="-2"/>
        </w:rPr>
        <w:t xml:space="preserve"> </w:t>
      </w:r>
      <w:r>
        <w:t>submission</w:t>
      </w:r>
      <w:r>
        <w:rPr>
          <w:spacing w:val="-3"/>
        </w:rPr>
        <w:t xml:space="preserve"> </w:t>
      </w:r>
      <w:r>
        <w:t>to</w:t>
      </w:r>
      <w:r>
        <w:rPr>
          <w:spacing w:val="-2"/>
        </w:rPr>
        <w:t xml:space="preserve"> </w:t>
      </w:r>
      <w:r>
        <w:t>a sponsor. In situations that do not include cost share commitments or special review</w:t>
      </w:r>
      <w:r>
        <w:rPr>
          <w:spacing w:val="-5"/>
        </w:rPr>
        <w:t xml:space="preserve"> </w:t>
      </w:r>
      <w:r>
        <w:t>items,</w:t>
      </w:r>
      <w:r>
        <w:rPr>
          <w:spacing w:val="-5"/>
        </w:rPr>
        <w:t xml:space="preserve"> </w:t>
      </w:r>
      <w:r>
        <w:t>department</w:t>
      </w:r>
      <w:r>
        <w:rPr>
          <w:spacing w:val="-5"/>
        </w:rPr>
        <w:t xml:space="preserve"> </w:t>
      </w:r>
      <w:r>
        <w:t>heads</w:t>
      </w:r>
      <w:r>
        <w:rPr>
          <w:spacing w:val="-5"/>
        </w:rPr>
        <w:t xml:space="preserve"> </w:t>
      </w:r>
      <w:r>
        <w:t>and</w:t>
      </w:r>
      <w:r>
        <w:rPr>
          <w:spacing w:val="-6"/>
        </w:rPr>
        <w:t xml:space="preserve"> </w:t>
      </w:r>
      <w:r>
        <w:t>deans</w:t>
      </w:r>
      <w:r>
        <w:rPr>
          <w:spacing w:val="-5"/>
        </w:rPr>
        <w:t xml:space="preserve"> </w:t>
      </w:r>
      <w:r>
        <w:t>will</w:t>
      </w:r>
      <w:r>
        <w:rPr>
          <w:spacing w:val="-6"/>
        </w:rPr>
        <w:t xml:space="preserve"> </w:t>
      </w:r>
      <w:r>
        <w:t>receive</w:t>
      </w:r>
      <w:r>
        <w:rPr>
          <w:spacing w:val="-5"/>
        </w:rPr>
        <w:t xml:space="preserve"> </w:t>
      </w:r>
      <w:r>
        <w:t>a</w:t>
      </w:r>
      <w:r>
        <w:rPr>
          <w:spacing w:val="-5"/>
        </w:rPr>
        <w:t xml:space="preserve"> </w:t>
      </w:r>
      <w:r>
        <w:t>monthly</w:t>
      </w:r>
      <w:r>
        <w:rPr>
          <w:spacing w:val="-6"/>
        </w:rPr>
        <w:t xml:space="preserve"> </w:t>
      </w:r>
      <w:r>
        <w:t>report</w:t>
      </w:r>
      <w:r>
        <w:rPr>
          <w:spacing w:val="-6"/>
        </w:rPr>
        <w:t xml:space="preserve"> </w:t>
      </w:r>
      <w:r>
        <w:t>via</w:t>
      </w:r>
      <w:r>
        <w:rPr>
          <w:spacing w:val="-5"/>
        </w:rPr>
        <w:t xml:space="preserve"> </w:t>
      </w:r>
      <w:r>
        <w:t>email for all activity for their unit(s).</w:t>
      </w:r>
      <w:r>
        <w:rPr>
          <w:spacing w:val="40"/>
        </w:rPr>
        <w:t xml:space="preserve"> </w:t>
      </w:r>
      <w:r>
        <w:t>The report will include detailed information for all proposals</w:t>
      </w:r>
      <w:r>
        <w:rPr>
          <w:spacing w:val="-2"/>
        </w:rPr>
        <w:t xml:space="preserve"> </w:t>
      </w:r>
      <w:r>
        <w:t>submitted</w:t>
      </w:r>
      <w:r>
        <w:rPr>
          <w:spacing w:val="-2"/>
        </w:rPr>
        <w:t xml:space="preserve"> </w:t>
      </w:r>
      <w:r>
        <w:t>and</w:t>
      </w:r>
      <w:r>
        <w:rPr>
          <w:spacing w:val="-2"/>
        </w:rPr>
        <w:t xml:space="preserve"> </w:t>
      </w:r>
      <w:r>
        <w:t>post</w:t>
      </w:r>
      <w:r>
        <w:rPr>
          <w:spacing w:val="-1"/>
        </w:rPr>
        <w:t xml:space="preserve"> </w:t>
      </w:r>
      <w:r>
        <w:t>award</w:t>
      </w:r>
      <w:r>
        <w:rPr>
          <w:spacing w:val="-2"/>
        </w:rPr>
        <w:t xml:space="preserve"> </w:t>
      </w:r>
      <w:r>
        <w:t>prior approval</w:t>
      </w:r>
      <w:r>
        <w:rPr>
          <w:spacing w:val="-2"/>
        </w:rPr>
        <w:t xml:space="preserve"> </w:t>
      </w:r>
      <w:r>
        <w:t>activity</w:t>
      </w:r>
      <w:r>
        <w:rPr>
          <w:spacing w:val="-2"/>
        </w:rPr>
        <w:t xml:space="preserve"> </w:t>
      </w:r>
      <w:r>
        <w:t>from</w:t>
      </w:r>
      <w:r>
        <w:rPr>
          <w:spacing w:val="-1"/>
        </w:rPr>
        <w:t xml:space="preserve"> </w:t>
      </w:r>
      <w:r>
        <w:t>the</w:t>
      </w:r>
      <w:r>
        <w:rPr>
          <w:spacing w:val="-1"/>
        </w:rPr>
        <w:t xml:space="preserve"> </w:t>
      </w:r>
      <w:r>
        <w:t>prior</w:t>
      </w:r>
      <w:r>
        <w:rPr>
          <w:spacing w:val="-2"/>
        </w:rPr>
        <w:t xml:space="preserve"> </w:t>
      </w:r>
      <w:r>
        <w:t>month.</w:t>
      </w:r>
    </w:p>
    <w:p w14:paraId="458DE042" w14:textId="77777777" w:rsidR="00DD18DB" w:rsidRDefault="00817F70">
      <w:pPr>
        <w:pStyle w:val="BodyText"/>
        <w:spacing w:before="152" w:line="278" w:lineRule="auto"/>
        <w:ind w:left="357" w:right="50"/>
      </w:pPr>
      <w:r>
        <w:t>In</w:t>
      </w:r>
      <w:r>
        <w:rPr>
          <w:spacing w:val="-8"/>
        </w:rPr>
        <w:t xml:space="preserve"> </w:t>
      </w:r>
      <w:r>
        <w:t>determining</w:t>
      </w:r>
      <w:r>
        <w:rPr>
          <w:spacing w:val="-7"/>
        </w:rPr>
        <w:t xml:space="preserve"> </w:t>
      </w:r>
      <w:r>
        <w:t>this</w:t>
      </w:r>
      <w:r>
        <w:rPr>
          <w:spacing w:val="-7"/>
        </w:rPr>
        <w:t xml:space="preserve"> </w:t>
      </w:r>
      <w:r>
        <w:t>path</w:t>
      </w:r>
      <w:r>
        <w:rPr>
          <w:spacing w:val="-8"/>
        </w:rPr>
        <w:t xml:space="preserve"> </w:t>
      </w:r>
      <w:r>
        <w:t>forward,</w:t>
      </w:r>
      <w:r>
        <w:rPr>
          <w:spacing w:val="-7"/>
        </w:rPr>
        <w:t xml:space="preserve"> </w:t>
      </w:r>
      <w:r>
        <w:t>department</w:t>
      </w:r>
      <w:r>
        <w:rPr>
          <w:spacing w:val="-7"/>
        </w:rPr>
        <w:t xml:space="preserve"> </w:t>
      </w:r>
      <w:r>
        <w:t>heads</w:t>
      </w:r>
      <w:r>
        <w:rPr>
          <w:spacing w:val="-7"/>
        </w:rPr>
        <w:t xml:space="preserve"> </w:t>
      </w:r>
      <w:r>
        <w:t>and</w:t>
      </w:r>
      <w:r>
        <w:rPr>
          <w:spacing w:val="-8"/>
        </w:rPr>
        <w:t xml:space="preserve"> </w:t>
      </w:r>
      <w:r>
        <w:t>deans</w:t>
      </w:r>
      <w:r>
        <w:rPr>
          <w:spacing w:val="-7"/>
        </w:rPr>
        <w:t xml:space="preserve"> </w:t>
      </w:r>
      <w:r>
        <w:t>were</w:t>
      </w:r>
      <w:r>
        <w:rPr>
          <w:spacing w:val="-7"/>
        </w:rPr>
        <w:t xml:space="preserve"> </w:t>
      </w:r>
      <w:r>
        <w:t>surveyed</w:t>
      </w:r>
      <w:r>
        <w:rPr>
          <w:spacing w:val="-8"/>
        </w:rPr>
        <w:t xml:space="preserve"> </w:t>
      </w:r>
      <w:r>
        <w:t>to provide input and seek buy-in. Although this solution may not address all feedback and requested functionality, the monthly report option allows for improved information ﬂow as well as complete and consistent documentation.</w:t>
      </w:r>
    </w:p>
    <w:p w14:paraId="458DE043" w14:textId="77777777" w:rsidR="00DD18DB" w:rsidRDefault="00817F70">
      <w:pPr>
        <w:pStyle w:val="Heading2"/>
        <w:spacing w:before="158"/>
      </w:pPr>
      <w:r>
        <w:t>For</w:t>
      </w:r>
      <w:r>
        <w:rPr>
          <w:spacing w:val="-13"/>
        </w:rPr>
        <w:t xml:space="preserve"> </w:t>
      </w:r>
      <w:r>
        <w:t>proposal</w:t>
      </w:r>
      <w:r>
        <w:rPr>
          <w:spacing w:val="-12"/>
        </w:rPr>
        <w:t xml:space="preserve"> </w:t>
      </w:r>
      <w:r>
        <w:rPr>
          <w:spacing w:val="-2"/>
        </w:rPr>
        <w:t>submissions:</w:t>
      </w:r>
    </w:p>
    <w:p w14:paraId="458DE044" w14:textId="77777777" w:rsidR="00DD18DB" w:rsidRDefault="00817F70">
      <w:pPr>
        <w:pStyle w:val="ListParagraph"/>
        <w:numPr>
          <w:ilvl w:val="0"/>
          <w:numId w:val="2"/>
        </w:numPr>
        <w:tabs>
          <w:tab w:val="left" w:pos="1075"/>
        </w:tabs>
        <w:spacing w:before="214"/>
        <w:ind w:left="1075" w:hanging="358"/>
        <w:rPr>
          <w:sz w:val="28"/>
        </w:rPr>
      </w:pPr>
      <w:r>
        <w:rPr>
          <w:spacing w:val="-2"/>
          <w:sz w:val="28"/>
        </w:rPr>
        <w:t>Principal</w:t>
      </w:r>
      <w:r>
        <w:rPr>
          <w:spacing w:val="-6"/>
          <w:sz w:val="28"/>
        </w:rPr>
        <w:t xml:space="preserve"> </w:t>
      </w:r>
      <w:r>
        <w:rPr>
          <w:spacing w:val="-2"/>
          <w:sz w:val="28"/>
        </w:rPr>
        <w:t>Investigators</w:t>
      </w:r>
      <w:r>
        <w:rPr>
          <w:spacing w:val="-4"/>
          <w:sz w:val="28"/>
        </w:rPr>
        <w:t xml:space="preserve"> </w:t>
      </w:r>
      <w:r>
        <w:rPr>
          <w:spacing w:val="-2"/>
          <w:sz w:val="28"/>
        </w:rPr>
        <w:t>and</w:t>
      </w:r>
      <w:r>
        <w:rPr>
          <w:spacing w:val="-5"/>
          <w:sz w:val="28"/>
        </w:rPr>
        <w:t xml:space="preserve"> </w:t>
      </w:r>
      <w:r>
        <w:rPr>
          <w:spacing w:val="-2"/>
          <w:sz w:val="28"/>
        </w:rPr>
        <w:t>Co-Investigators</w:t>
      </w:r>
      <w:r>
        <w:rPr>
          <w:spacing w:val="-4"/>
          <w:sz w:val="28"/>
        </w:rPr>
        <w:t xml:space="preserve"> </w:t>
      </w:r>
      <w:r>
        <w:rPr>
          <w:spacing w:val="-2"/>
          <w:sz w:val="28"/>
        </w:rPr>
        <w:t>will</w:t>
      </w:r>
      <w:r>
        <w:rPr>
          <w:spacing w:val="-5"/>
          <w:sz w:val="28"/>
        </w:rPr>
        <w:t xml:space="preserve"> </w:t>
      </w:r>
      <w:r>
        <w:rPr>
          <w:spacing w:val="-2"/>
          <w:sz w:val="28"/>
        </w:rPr>
        <w:t>receive</w:t>
      </w:r>
      <w:r>
        <w:rPr>
          <w:spacing w:val="-4"/>
          <w:sz w:val="28"/>
        </w:rPr>
        <w:t xml:space="preserve"> </w:t>
      </w:r>
      <w:r>
        <w:rPr>
          <w:spacing w:val="-2"/>
          <w:sz w:val="28"/>
        </w:rPr>
        <w:t>proposals</w:t>
      </w:r>
      <w:r>
        <w:rPr>
          <w:spacing w:val="-5"/>
          <w:sz w:val="28"/>
        </w:rPr>
        <w:t xml:space="preserve"> </w:t>
      </w:r>
      <w:r>
        <w:rPr>
          <w:spacing w:val="-2"/>
          <w:sz w:val="28"/>
        </w:rPr>
        <w:t>for</w:t>
      </w:r>
      <w:r>
        <w:rPr>
          <w:spacing w:val="-4"/>
          <w:sz w:val="28"/>
        </w:rPr>
        <w:t xml:space="preserve"> </w:t>
      </w:r>
      <w:r>
        <w:rPr>
          <w:spacing w:val="-2"/>
          <w:sz w:val="28"/>
        </w:rPr>
        <w:t>review</w:t>
      </w:r>
    </w:p>
    <w:p w14:paraId="458DE045" w14:textId="77777777" w:rsidR="00DD18DB" w:rsidRDefault="00817F70">
      <w:pPr>
        <w:pStyle w:val="BodyText"/>
        <w:spacing w:before="54"/>
      </w:pPr>
      <w:r>
        <w:t>and</w:t>
      </w:r>
      <w:r>
        <w:rPr>
          <w:spacing w:val="-13"/>
        </w:rPr>
        <w:t xml:space="preserve"> </w:t>
      </w:r>
      <w:r>
        <w:t>certiﬁcation</w:t>
      </w:r>
      <w:r>
        <w:rPr>
          <w:spacing w:val="-12"/>
        </w:rPr>
        <w:t xml:space="preserve"> </w:t>
      </w:r>
      <w:r>
        <w:t>pre-submission</w:t>
      </w:r>
      <w:r>
        <w:rPr>
          <w:spacing w:val="-12"/>
        </w:rPr>
        <w:t xml:space="preserve"> </w:t>
      </w:r>
      <w:r>
        <w:t>via</w:t>
      </w:r>
      <w:r>
        <w:rPr>
          <w:spacing w:val="-11"/>
        </w:rPr>
        <w:t xml:space="preserve"> </w:t>
      </w:r>
      <w:r>
        <w:t>the</w:t>
      </w:r>
      <w:r>
        <w:rPr>
          <w:spacing w:val="-12"/>
        </w:rPr>
        <w:t xml:space="preserve"> </w:t>
      </w:r>
      <w:r>
        <w:t>PERA</w:t>
      </w:r>
      <w:r>
        <w:rPr>
          <w:spacing w:val="-11"/>
        </w:rPr>
        <w:t xml:space="preserve"> </w:t>
      </w:r>
      <w:r>
        <w:rPr>
          <w:spacing w:val="-2"/>
        </w:rPr>
        <w:t>system</w:t>
      </w:r>
    </w:p>
    <w:p w14:paraId="458DE046" w14:textId="77777777" w:rsidR="00DD18DB" w:rsidRDefault="00817F70">
      <w:pPr>
        <w:pStyle w:val="ListParagraph"/>
        <w:numPr>
          <w:ilvl w:val="0"/>
          <w:numId w:val="2"/>
        </w:numPr>
        <w:tabs>
          <w:tab w:val="left" w:pos="1075"/>
          <w:tab w:val="left" w:pos="1077"/>
        </w:tabs>
        <w:spacing w:before="54" w:line="278" w:lineRule="auto"/>
        <w:ind w:right="125" w:hanging="360"/>
        <w:rPr>
          <w:sz w:val="28"/>
        </w:rPr>
      </w:pPr>
      <w:r>
        <w:rPr>
          <w:sz w:val="28"/>
        </w:rPr>
        <w:t>Department</w:t>
      </w:r>
      <w:r>
        <w:rPr>
          <w:spacing w:val="-7"/>
          <w:sz w:val="28"/>
        </w:rPr>
        <w:t xml:space="preserve"> </w:t>
      </w:r>
      <w:r>
        <w:rPr>
          <w:sz w:val="28"/>
        </w:rPr>
        <w:t>Heads</w:t>
      </w:r>
      <w:r>
        <w:rPr>
          <w:spacing w:val="-7"/>
          <w:sz w:val="28"/>
        </w:rPr>
        <w:t xml:space="preserve"> </w:t>
      </w:r>
      <w:r>
        <w:rPr>
          <w:sz w:val="28"/>
        </w:rPr>
        <w:t>and</w:t>
      </w:r>
      <w:r>
        <w:rPr>
          <w:spacing w:val="-8"/>
          <w:sz w:val="28"/>
        </w:rPr>
        <w:t xml:space="preserve"> </w:t>
      </w:r>
      <w:r>
        <w:rPr>
          <w:sz w:val="28"/>
        </w:rPr>
        <w:t>Deans</w:t>
      </w:r>
      <w:r>
        <w:rPr>
          <w:spacing w:val="-6"/>
          <w:sz w:val="28"/>
        </w:rPr>
        <w:t xml:space="preserve"> </w:t>
      </w:r>
      <w:r>
        <w:rPr>
          <w:sz w:val="28"/>
        </w:rPr>
        <w:t>will</w:t>
      </w:r>
      <w:r>
        <w:rPr>
          <w:spacing w:val="-6"/>
          <w:sz w:val="28"/>
        </w:rPr>
        <w:t xml:space="preserve"> </w:t>
      </w:r>
      <w:r>
        <w:rPr>
          <w:sz w:val="28"/>
        </w:rPr>
        <w:t>be</w:t>
      </w:r>
      <w:r>
        <w:rPr>
          <w:spacing w:val="-7"/>
          <w:sz w:val="28"/>
        </w:rPr>
        <w:t xml:space="preserve"> </w:t>
      </w:r>
      <w:r>
        <w:rPr>
          <w:sz w:val="28"/>
        </w:rPr>
        <w:t>provided</w:t>
      </w:r>
      <w:r>
        <w:rPr>
          <w:spacing w:val="-8"/>
          <w:sz w:val="28"/>
        </w:rPr>
        <w:t xml:space="preserve"> </w:t>
      </w:r>
      <w:r>
        <w:rPr>
          <w:sz w:val="28"/>
        </w:rPr>
        <w:t>cost</w:t>
      </w:r>
      <w:r>
        <w:rPr>
          <w:spacing w:val="-7"/>
          <w:sz w:val="28"/>
        </w:rPr>
        <w:t xml:space="preserve"> </w:t>
      </w:r>
      <w:r>
        <w:rPr>
          <w:sz w:val="28"/>
        </w:rPr>
        <w:t>sharing</w:t>
      </w:r>
      <w:r>
        <w:rPr>
          <w:spacing w:val="-7"/>
          <w:sz w:val="28"/>
        </w:rPr>
        <w:t xml:space="preserve"> </w:t>
      </w:r>
      <w:r>
        <w:rPr>
          <w:sz w:val="28"/>
        </w:rPr>
        <w:t>documentation before</w:t>
      </w:r>
      <w:r>
        <w:rPr>
          <w:spacing w:val="-2"/>
          <w:sz w:val="28"/>
        </w:rPr>
        <w:t xml:space="preserve"> </w:t>
      </w:r>
      <w:r>
        <w:rPr>
          <w:sz w:val="28"/>
        </w:rPr>
        <w:t>submission</w:t>
      </w:r>
      <w:r>
        <w:rPr>
          <w:spacing w:val="-3"/>
          <w:sz w:val="28"/>
        </w:rPr>
        <w:t xml:space="preserve"> </w:t>
      </w:r>
      <w:r>
        <w:rPr>
          <w:sz w:val="28"/>
        </w:rPr>
        <w:t>to</w:t>
      </w:r>
      <w:r>
        <w:rPr>
          <w:spacing w:val="-2"/>
          <w:sz w:val="28"/>
        </w:rPr>
        <w:t xml:space="preserve"> </w:t>
      </w:r>
      <w:r>
        <w:rPr>
          <w:sz w:val="28"/>
        </w:rPr>
        <w:t>validate</w:t>
      </w:r>
      <w:r>
        <w:rPr>
          <w:spacing w:val="-2"/>
          <w:sz w:val="28"/>
        </w:rPr>
        <w:t xml:space="preserve"> </w:t>
      </w:r>
      <w:r>
        <w:rPr>
          <w:sz w:val="28"/>
        </w:rPr>
        <w:t>and</w:t>
      </w:r>
      <w:r>
        <w:rPr>
          <w:spacing w:val="-3"/>
          <w:sz w:val="28"/>
        </w:rPr>
        <w:t xml:space="preserve"> </w:t>
      </w:r>
      <w:r>
        <w:rPr>
          <w:sz w:val="28"/>
        </w:rPr>
        <w:t>approve</w:t>
      </w:r>
      <w:r>
        <w:rPr>
          <w:spacing w:val="-2"/>
          <w:sz w:val="28"/>
        </w:rPr>
        <w:t xml:space="preserve"> </w:t>
      </w:r>
      <w:r>
        <w:rPr>
          <w:sz w:val="28"/>
        </w:rPr>
        <w:t>in</w:t>
      </w:r>
      <w:r>
        <w:rPr>
          <w:spacing w:val="-3"/>
          <w:sz w:val="28"/>
        </w:rPr>
        <w:t xml:space="preserve"> </w:t>
      </w:r>
      <w:r>
        <w:rPr>
          <w:sz w:val="28"/>
        </w:rPr>
        <w:t>advance</w:t>
      </w:r>
      <w:r>
        <w:rPr>
          <w:spacing w:val="-2"/>
          <w:sz w:val="28"/>
        </w:rPr>
        <w:t xml:space="preserve"> </w:t>
      </w:r>
      <w:r>
        <w:rPr>
          <w:sz w:val="28"/>
        </w:rPr>
        <w:t>via</w:t>
      </w:r>
      <w:r>
        <w:rPr>
          <w:spacing w:val="-2"/>
          <w:sz w:val="28"/>
        </w:rPr>
        <w:t xml:space="preserve"> </w:t>
      </w:r>
      <w:r>
        <w:rPr>
          <w:sz w:val="28"/>
        </w:rPr>
        <w:t>the</w:t>
      </w:r>
      <w:r>
        <w:rPr>
          <w:spacing w:val="-1"/>
          <w:sz w:val="28"/>
        </w:rPr>
        <w:t xml:space="preserve"> </w:t>
      </w:r>
      <w:r>
        <w:rPr>
          <w:sz w:val="28"/>
        </w:rPr>
        <w:t>PERA</w:t>
      </w:r>
      <w:r>
        <w:rPr>
          <w:spacing w:val="-2"/>
          <w:sz w:val="28"/>
        </w:rPr>
        <w:t xml:space="preserve"> </w:t>
      </w:r>
      <w:r>
        <w:rPr>
          <w:sz w:val="28"/>
        </w:rPr>
        <w:t>system</w:t>
      </w:r>
    </w:p>
    <w:p w14:paraId="458DE047" w14:textId="77777777" w:rsidR="00DD18DB" w:rsidRDefault="00817F70">
      <w:pPr>
        <w:pStyle w:val="ListParagraph"/>
        <w:numPr>
          <w:ilvl w:val="0"/>
          <w:numId w:val="2"/>
        </w:numPr>
        <w:tabs>
          <w:tab w:val="left" w:pos="1073"/>
          <w:tab w:val="left" w:pos="1076"/>
        </w:tabs>
        <w:spacing w:line="278" w:lineRule="auto"/>
        <w:ind w:left="1076" w:right="222"/>
        <w:rPr>
          <w:sz w:val="28"/>
        </w:rPr>
      </w:pPr>
      <w:r>
        <w:rPr>
          <w:sz w:val="28"/>
        </w:rPr>
        <w:t>Approval for special circumstances such as space needs, construction/renovation</w:t>
      </w:r>
      <w:r>
        <w:rPr>
          <w:spacing w:val="-11"/>
          <w:sz w:val="28"/>
        </w:rPr>
        <w:t xml:space="preserve"> </w:t>
      </w:r>
      <w:r>
        <w:rPr>
          <w:sz w:val="28"/>
        </w:rPr>
        <w:t>and</w:t>
      </w:r>
      <w:r>
        <w:rPr>
          <w:spacing w:val="-10"/>
          <w:sz w:val="28"/>
        </w:rPr>
        <w:t xml:space="preserve"> </w:t>
      </w:r>
      <w:r>
        <w:rPr>
          <w:sz w:val="28"/>
        </w:rPr>
        <w:t>large</w:t>
      </w:r>
      <w:r>
        <w:rPr>
          <w:spacing w:val="-10"/>
          <w:sz w:val="28"/>
        </w:rPr>
        <w:t xml:space="preserve"> </w:t>
      </w:r>
      <w:r>
        <w:rPr>
          <w:sz w:val="28"/>
        </w:rPr>
        <w:t>equipment</w:t>
      </w:r>
      <w:r>
        <w:rPr>
          <w:spacing w:val="-10"/>
          <w:sz w:val="28"/>
        </w:rPr>
        <w:t xml:space="preserve"> </w:t>
      </w:r>
      <w:r>
        <w:rPr>
          <w:sz w:val="28"/>
        </w:rPr>
        <w:t>will</w:t>
      </w:r>
      <w:r>
        <w:rPr>
          <w:spacing w:val="-10"/>
          <w:sz w:val="28"/>
        </w:rPr>
        <w:t xml:space="preserve"> </w:t>
      </w:r>
      <w:r>
        <w:rPr>
          <w:sz w:val="28"/>
        </w:rPr>
        <w:t>be</w:t>
      </w:r>
      <w:r>
        <w:rPr>
          <w:spacing w:val="-10"/>
          <w:sz w:val="28"/>
        </w:rPr>
        <w:t xml:space="preserve"> </w:t>
      </w:r>
      <w:r>
        <w:rPr>
          <w:sz w:val="28"/>
        </w:rPr>
        <w:t>handled</w:t>
      </w:r>
      <w:r>
        <w:rPr>
          <w:spacing w:val="-11"/>
          <w:sz w:val="28"/>
        </w:rPr>
        <w:t xml:space="preserve"> </w:t>
      </w:r>
      <w:r>
        <w:rPr>
          <w:sz w:val="28"/>
        </w:rPr>
        <w:t>via</w:t>
      </w:r>
      <w:r>
        <w:rPr>
          <w:spacing w:val="-10"/>
          <w:sz w:val="28"/>
        </w:rPr>
        <w:t xml:space="preserve"> </w:t>
      </w:r>
      <w:r>
        <w:rPr>
          <w:sz w:val="28"/>
        </w:rPr>
        <w:t>separate processes pre-submission</w:t>
      </w:r>
    </w:p>
    <w:p w14:paraId="458DE048" w14:textId="77777777" w:rsidR="00DD18DB" w:rsidRDefault="00DD18DB">
      <w:pPr>
        <w:pStyle w:val="ListParagraph"/>
        <w:spacing w:line="278" w:lineRule="auto"/>
        <w:rPr>
          <w:sz w:val="28"/>
        </w:rPr>
        <w:sectPr w:rsidR="00DD18DB">
          <w:type w:val="continuous"/>
          <w:pgSz w:w="12240" w:h="15840"/>
          <w:pgMar w:top="1480" w:right="1440" w:bottom="280" w:left="1080" w:header="720" w:footer="720" w:gutter="0"/>
          <w:cols w:space="720"/>
        </w:sectPr>
      </w:pPr>
    </w:p>
    <w:p w14:paraId="458DE049" w14:textId="77777777" w:rsidR="00DD18DB" w:rsidRDefault="00817F70">
      <w:pPr>
        <w:pStyle w:val="Heading2"/>
        <w:ind w:left="360"/>
      </w:pPr>
      <w:r>
        <w:lastRenderedPageBreak/>
        <w:t>For</w:t>
      </w:r>
      <w:r>
        <w:rPr>
          <w:spacing w:val="-12"/>
        </w:rPr>
        <w:t xml:space="preserve"> </w:t>
      </w:r>
      <w:r>
        <w:t>post</w:t>
      </w:r>
      <w:r>
        <w:rPr>
          <w:spacing w:val="-12"/>
        </w:rPr>
        <w:t xml:space="preserve"> </w:t>
      </w:r>
      <w:r>
        <w:t>award</w:t>
      </w:r>
      <w:r>
        <w:rPr>
          <w:spacing w:val="-12"/>
        </w:rPr>
        <w:t xml:space="preserve"> </w:t>
      </w:r>
      <w:r>
        <w:t>prior</w:t>
      </w:r>
      <w:r>
        <w:rPr>
          <w:spacing w:val="-10"/>
        </w:rPr>
        <w:t xml:space="preserve"> </w:t>
      </w:r>
      <w:r>
        <w:rPr>
          <w:spacing w:val="-2"/>
        </w:rPr>
        <w:t>approvals:</w:t>
      </w:r>
    </w:p>
    <w:p w14:paraId="458DE04A" w14:textId="77777777" w:rsidR="00DD18DB" w:rsidRDefault="00817F70">
      <w:pPr>
        <w:pStyle w:val="ListParagraph"/>
        <w:numPr>
          <w:ilvl w:val="0"/>
          <w:numId w:val="1"/>
        </w:numPr>
        <w:tabs>
          <w:tab w:val="left" w:pos="1076"/>
          <w:tab w:val="left" w:pos="1079"/>
        </w:tabs>
        <w:spacing w:before="55" w:line="278" w:lineRule="auto"/>
        <w:ind w:right="384"/>
        <w:rPr>
          <w:sz w:val="28"/>
        </w:rPr>
      </w:pPr>
      <w:r>
        <w:rPr>
          <w:sz w:val="28"/>
        </w:rPr>
        <w:t>Principal investigators should work with their business oﬃces to initiate requests</w:t>
      </w:r>
      <w:r>
        <w:rPr>
          <w:spacing w:val="-8"/>
          <w:sz w:val="28"/>
        </w:rPr>
        <w:t xml:space="preserve"> </w:t>
      </w:r>
      <w:r>
        <w:rPr>
          <w:sz w:val="28"/>
        </w:rPr>
        <w:t>for</w:t>
      </w:r>
      <w:r>
        <w:rPr>
          <w:spacing w:val="-7"/>
          <w:sz w:val="28"/>
        </w:rPr>
        <w:t xml:space="preserve"> </w:t>
      </w:r>
      <w:r>
        <w:rPr>
          <w:sz w:val="28"/>
        </w:rPr>
        <w:t>changes</w:t>
      </w:r>
      <w:r>
        <w:rPr>
          <w:spacing w:val="-8"/>
          <w:sz w:val="28"/>
        </w:rPr>
        <w:t xml:space="preserve"> </w:t>
      </w:r>
      <w:r>
        <w:rPr>
          <w:sz w:val="28"/>
        </w:rPr>
        <w:t>in</w:t>
      </w:r>
      <w:r>
        <w:rPr>
          <w:spacing w:val="-9"/>
          <w:sz w:val="28"/>
        </w:rPr>
        <w:t xml:space="preserve"> </w:t>
      </w:r>
      <w:r>
        <w:rPr>
          <w:sz w:val="28"/>
        </w:rPr>
        <w:t>PI,</w:t>
      </w:r>
      <w:r>
        <w:rPr>
          <w:spacing w:val="-9"/>
          <w:sz w:val="28"/>
        </w:rPr>
        <w:t xml:space="preserve"> </w:t>
      </w:r>
      <w:r>
        <w:rPr>
          <w:sz w:val="28"/>
        </w:rPr>
        <w:t>budget</w:t>
      </w:r>
      <w:r>
        <w:rPr>
          <w:spacing w:val="-9"/>
          <w:sz w:val="28"/>
        </w:rPr>
        <w:t xml:space="preserve"> </w:t>
      </w:r>
      <w:r>
        <w:rPr>
          <w:sz w:val="28"/>
        </w:rPr>
        <w:t>revisions,</w:t>
      </w:r>
      <w:r>
        <w:rPr>
          <w:spacing w:val="-9"/>
          <w:sz w:val="28"/>
        </w:rPr>
        <w:t xml:space="preserve"> </w:t>
      </w:r>
      <w:r>
        <w:rPr>
          <w:sz w:val="28"/>
        </w:rPr>
        <w:t>no-cost</w:t>
      </w:r>
      <w:r>
        <w:rPr>
          <w:spacing w:val="-9"/>
          <w:sz w:val="28"/>
        </w:rPr>
        <w:t xml:space="preserve"> </w:t>
      </w:r>
      <w:r>
        <w:rPr>
          <w:sz w:val="28"/>
        </w:rPr>
        <w:t>extensions,</w:t>
      </w:r>
      <w:r>
        <w:rPr>
          <w:spacing w:val="-9"/>
          <w:sz w:val="28"/>
        </w:rPr>
        <w:t xml:space="preserve"> </w:t>
      </w:r>
      <w:r>
        <w:rPr>
          <w:sz w:val="28"/>
        </w:rPr>
        <w:t>adding</w:t>
      </w:r>
      <w:r>
        <w:rPr>
          <w:spacing w:val="-9"/>
          <w:sz w:val="28"/>
        </w:rPr>
        <w:t xml:space="preserve"> </w:t>
      </w:r>
      <w:r>
        <w:rPr>
          <w:sz w:val="28"/>
        </w:rPr>
        <w:t>a new</w:t>
      </w:r>
      <w:r>
        <w:rPr>
          <w:spacing w:val="-6"/>
          <w:sz w:val="28"/>
        </w:rPr>
        <w:t xml:space="preserve"> </w:t>
      </w:r>
      <w:r>
        <w:rPr>
          <w:sz w:val="28"/>
        </w:rPr>
        <w:t>subrecipient,</w:t>
      </w:r>
      <w:r>
        <w:rPr>
          <w:spacing w:val="-7"/>
          <w:sz w:val="28"/>
        </w:rPr>
        <w:t xml:space="preserve"> </w:t>
      </w:r>
      <w:r>
        <w:rPr>
          <w:sz w:val="28"/>
        </w:rPr>
        <w:t>and</w:t>
      </w:r>
      <w:r>
        <w:rPr>
          <w:spacing w:val="-6"/>
          <w:sz w:val="28"/>
        </w:rPr>
        <w:t xml:space="preserve"> </w:t>
      </w:r>
      <w:r>
        <w:rPr>
          <w:sz w:val="28"/>
        </w:rPr>
        <w:t>establishment</w:t>
      </w:r>
      <w:r>
        <w:rPr>
          <w:spacing w:val="-5"/>
          <w:sz w:val="28"/>
        </w:rPr>
        <w:t xml:space="preserve"> </w:t>
      </w:r>
      <w:r>
        <w:rPr>
          <w:sz w:val="28"/>
        </w:rPr>
        <w:t>of</w:t>
      </w:r>
      <w:r>
        <w:rPr>
          <w:spacing w:val="-5"/>
          <w:sz w:val="28"/>
        </w:rPr>
        <w:t xml:space="preserve"> </w:t>
      </w:r>
      <w:r>
        <w:rPr>
          <w:sz w:val="28"/>
        </w:rPr>
        <w:t>a</w:t>
      </w:r>
      <w:r>
        <w:rPr>
          <w:spacing w:val="-5"/>
          <w:sz w:val="28"/>
        </w:rPr>
        <w:t xml:space="preserve"> </w:t>
      </w:r>
      <w:r>
        <w:rPr>
          <w:sz w:val="28"/>
        </w:rPr>
        <w:t>notice</w:t>
      </w:r>
      <w:r>
        <w:rPr>
          <w:spacing w:val="-4"/>
          <w:sz w:val="28"/>
        </w:rPr>
        <w:t xml:space="preserve"> </w:t>
      </w:r>
      <w:r>
        <w:rPr>
          <w:sz w:val="28"/>
        </w:rPr>
        <w:t>to</w:t>
      </w:r>
      <w:r>
        <w:rPr>
          <w:spacing w:val="-4"/>
          <w:sz w:val="28"/>
        </w:rPr>
        <w:t xml:space="preserve"> </w:t>
      </w:r>
      <w:r>
        <w:rPr>
          <w:sz w:val="28"/>
        </w:rPr>
        <w:t>proceed</w:t>
      </w:r>
      <w:r>
        <w:rPr>
          <w:spacing w:val="-5"/>
          <w:sz w:val="28"/>
        </w:rPr>
        <w:t xml:space="preserve"> </w:t>
      </w:r>
      <w:r>
        <w:rPr>
          <w:sz w:val="28"/>
        </w:rPr>
        <w:t>via</w:t>
      </w:r>
      <w:r>
        <w:rPr>
          <w:spacing w:val="-2"/>
          <w:sz w:val="28"/>
        </w:rPr>
        <w:t xml:space="preserve"> </w:t>
      </w:r>
      <w:r>
        <w:rPr>
          <w:sz w:val="28"/>
        </w:rPr>
        <w:t>the</w:t>
      </w:r>
      <w:r>
        <w:rPr>
          <w:spacing w:val="-2"/>
          <w:sz w:val="28"/>
        </w:rPr>
        <w:t xml:space="preserve"> </w:t>
      </w:r>
      <w:r>
        <w:rPr>
          <w:sz w:val="28"/>
        </w:rPr>
        <w:t xml:space="preserve">PERA </w:t>
      </w:r>
      <w:r>
        <w:rPr>
          <w:spacing w:val="-2"/>
          <w:sz w:val="28"/>
        </w:rPr>
        <w:t>system</w:t>
      </w:r>
    </w:p>
    <w:p w14:paraId="458DE04B" w14:textId="77777777" w:rsidR="00DD18DB" w:rsidRDefault="00817F70">
      <w:pPr>
        <w:pStyle w:val="ListParagraph"/>
        <w:numPr>
          <w:ilvl w:val="0"/>
          <w:numId w:val="1"/>
        </w:numPr>
        <w:tabs>
          <w:tab w:val="left" w:pos="1076"/>
          <w:tab w:val="left" w:pos="1079"/>
        </w:tabs>
        <w:spacing w:line="278" w:lineRule="auto"/>
        <w:ind w:right="282"/>
        <w:rPr>
          <w:sz w:val="28"/>
        </w:rPr>
      </w:pPr>
      <w:r>
        <w:rPr>
          <w:sz w:val="28"/>
        </w:rPr>
        <w:t>Business oﬃcers will work with unit leads when appropriate to ensure academic</w:t>
      </w:r>
      <w:r>
        <w:rPr>
          <w:spacing w:val="-10"/>
          <w:sz w:val="28"/>
        </w:rPr>
        <w:t xml:space="preserve"> </w:t>
      </w:r>
      <w:r>
        <w:rPr>
          <w:sz w:val="28"/>
        </w:rPr>
        <w:t>awareness</w:t>
      </w:r>
      <w:r>
        <w:rPr>
          <w:spacing w:val="-10"/>
          <w:sz w:val="28"/>
        </w:rPr>
        <w:t xml:space="preserve"> </w:t>
      </w:r>
      <w:r>
        <w:rPr>
          <w:sz w:val="28"/>
        </w:rPr>
        <w:t>and</w:t>
      </w:r>
      <w:r>
        <w:rPr>
          <w:spacing w:val="-10"/>
          <w:sz w:val="28"/>
        </w:rPr>
        <w:t xml:space="preserve"> </w:t>
      </w:r>
      <w:r>
        <w:rPr>
          <w:sz w:val="28"/>
        </w:rPr>
        <w:t>approvals</w:t>
      </w:r>
      <w:r>
        <w:rPr>
          <w:spacing w:val="-8"/>
          <w:sz w:val="28"/>
        </w:rPr>
        <w:t xml:space="preserve"> </w:t>
      </w:r>
      <w:r>
        <w:rPr>
          <w:sz w:val="28"/>
        </w:rPr>
        <w:t>are</w:t>
      </w:r>
      <w:r>
        <w:rPr>
          <w:spacing w:val="-8"/>
          <w:sz w:val="28"/>
        </w:rPr>
        <w:t xml:space="preserve"> </w:t>
      </w:r>
      <w:r>
        <w:rPr>
          <w:sz w:val="28"/>
        </w:rPr>
        <w:t>received</w:t>
      </w:r>
      <w:r>
        <w:rPr>
          <w:spacing w:val="-9"/>
          <w:sz w:val="28"/>
        </w:rPr>
        <w:t xml:space="preserve"> </w:t>
      </w:r>
      <w:r>
        <w:rPr>
          <w:sz w:val="28"/>
        </w:rPr>
        <w:t>in</w:t>
      </w:r>
      <w:r>
        <w:rPr>
          <w:spacing w:val="-10"/>
          <w:sz w:val="28"/>
        </w:rPr>
        <w:t xml:space="preserve"> </w:t>
      </w:r>
      <w:r>
        <w:rPr>
          <w:sz w:val="28"/>
        </w:rPr>
        <w:t>advance</w:t>
      </w:r>
      <w:r>
        <w:rPr>
          <w:spacing w:val="-10"/>
          <w:sz w:val="28"/>
        </w:rPr>
        <w:t xml:space="preserve"> </w:t>
      </w:r>
      <w:r>
        <w:rPr>
          <w:sz w:val="28"/>
        </w:rPr>
        <w:t>of</w:t>
      </w:r>
      <w:r>
        <w:rPr>
          <w:spacing w:val="-10"/>
          <w:sz w:val="28"/>
        </w:rPr>
        <w:t xml:space="preserve"> </w:t>
      </w:r>
      <w:r>
        <w:rPr>
          <w:sz w:val="28"/>
        </w:rPr>
        <w:t>submission to Sponsored Program Services.</w:t>
      </w:r>
    </w:p>
    <w:p w14:paraId="458DE04C" w14:textId="77777777" w:rsidR="00DD18DB" w:rsidRDefault="00817F70">
      <w:pPr>
        <w:pStyle w:val="ListParagraph"/>
        <w:numPr>
          <w:ilvl w:val="0"/>
          <w:numId w:val="1"/>
        </w:numPr>
        <w:tabs>
          <w:tab w:val="left" w:pos="1077"/>
        </w:tabs>
        <w:spacing w:line="340" w:lineRule="exact"/>
        <w:ind w:left="1077" w:hanging="358"/>
        <w:rPr>
          <w:sz w:val="28"/>
        </w:rPr>
      </w:pPr>
      <w:r>
        <w:rPr>
          <w:sz w:val="28"/>
        </w:rPr>
        <w:t>These</w:t>
      </w:r>
      <w:r>
        <w:rPr>
          <w:spacing w:val="-9"/>
          <w:sz w:val="28"/>
        </w:rPr>
        <w:t xml:space="preserve"> </w:t>
      </w:r>
      <w:r>
        <w:rPr>
          <w:sz w:val="28"/>
        </w:rPr>
        <w:t>reviews</w:t>
      </w:r>
      <w:r>
        <w:rPr>
          <w:spacing w:val="-9"/>
          <w:sz w:val="28"/>
        </w:rPr>
        <w:t xml:space="preserve"> </w:t>
      </w:r>
      <w:r>
        <w:rPr>
          <w:sz w:val="28"/>
        </w:rPr>
        <w:t>and</w:t>
      </w:r>
      <w:r>
        <w:rPr>
          <w:spacing w:val="-9"/>
          <w:sz w:val="28"/>
        </w:rPr>
        <w:t xml:space="preserve"> </w:t>
      </w:r>
      <w:r>
        <w:rPr>
          <w:sz w:val="28"/>
        </w:rPr>
        <w:t>approvals</w:t>
      </w:r>
      <w:r>
        <w:rPr>
          <w:spacing w:val="-10"/>
          <w:sz w:val="28"/>
        </w:rPr>
        <w:t xml:space="preserve"> </w:t>
      </w:r>
      <w:r>
        <w:rPr>
          <w:sz w:val="28"/>
        </w:rPr>
        <w:t>will</w:t>
      </w:r>
      <w:r>
        <w:rPr>
          <w:spacing w:val="-11"/>
          <w:sz w:val="28"/>
        </w:rPr>
        <w:t xml:space="preserve"> </w:t>
      </w:r>
      <w:r>
        <w:rPr>
          <w:sz w:val="28"/>
        </w:rPr>
        <w:t>be</w:t>
      </w:r>
      <w:r>
        <w:rPr>
          <w:spacing w:val="-11"/>
          <w:sz w:val="28"/>
        </w:rPr>
        <w:t xml:space="preserve"> </w:t>
      </w:r>
      <w:r>
        <w:rPr>
          <w:sz w:val="28"/>
        </w:rPr>
        <w:t>documented</w:t>
      </w:r>
      <w:r>
        <w:rPr>
          <w:spacing w:val="-10"/>
          <w:sz w:val="28"/>
        </w:rPr>
        <w:t xml:space="preserve"> </w:t>
      </w:r>
      <w:r>
        <w:rPr>
          <w:sz w:val="28"/>
        </w:rPr>
        <w:t>and</w:t>
      </w:r>
      <w:r>
        <w:rPr>
          <w:spacing w:val="-11"/>
          <w:sz w:val="28"/>
        </w:rPr>
        <w:t xml:space="preserve"> </w:t>
      </w:r>
      <w:r>
        <w:rPr>
          <w:sz w:val="28"/>
        </w:rPr>
        <w:t>retained</w:t>
      </w:r>
      <w:r>
        <w:rPr>
          <w:spacing w:val="-11"/>
          <w:sz w:val="28"/>
        </w:rPr>
        <w:t xml:space="preserve"> </w:t>
      </w:r>
      <w:r>
        <w:rPr>
          <w:sz w:val="28"/>
        </w:rPr>
        <w:t>in</w:t>
      </w:r>
      <w:r>
        <w:rPr>
          <w:spacing w:val="-11"/>
          <w:sz w:val="28"/>
        </w:rPr>
        <w:t xml:space="preserve"> </w:t>
      </w:r>
      <w:r>
        <w:rPr>
          <w:spacing w:val="-5"/>
          <w:sz w:val="28"/>
        </w:rPr>
        <w:t>the</w:t>
      </w:r>
    </w:p>
    <w:p w14:paraId="458DE04D" w14:textId="77777777" w:rsidR="00DD18DB" w:rsidRDefault="00817F70">
      <w:pPr>
        <w:pStyle w:val="BodyText"/>
        <w:spacing w:before="51"/>
        <w:ind w:left="1079"/>
        <w:rPr>
          <w:spacing w:val="-4"/>
        </w:rPr>
      </w:pPr>
      <w:r>
        <w:t>Sponsored</w:t>
      </w:r>
      <w:r>
        <w:rPr>
          <w:spacing w:val="-10"/>
        </w:rPr>
        <w:t xml:space="preserve"> </w:t>
      </w:r>
      <w:r>
        <w:t>Program</w:t>
      </w:r>
      <w:r>
        <w:rPr>
          <w:spacing w:val="-9"/>
        </w:rPr>
        <w:t xml:space="preserve"> </w:t>
      </w:r>
      <w:r>
        <w:t>Services</w:t>
      </w:r>
      <w:r>
        <w:rPr>
          <w:spacing w:val="-9"/>
        </w:rPr>
        <w:t xml:space="preserve"> </w:t>
      </w:r>
      <w:r>
        <w:t>or</w:t>
      </w:r>
      <w:r>
        <w:rPr>
          <w:spacing w:val="-9"/>
        </w:rPr>
        <w:t xml:space="preserve"> </w:t>
      </w:r>
      <w:r>
        <w:t>departmental</w:t>
      </w:r>
      <w:r>
        <w:rPr>
          <w:spacing w:val="-10"/>
        </w:rPr>
        <w:t xml:space="preserve"> </w:t>
      </w:r>
      <w:r>
        <w:t>grant</w:t>
      </w:r>
      <w:r>
        <w:rPr>
          <w:spacing w:val="-9"/>
        </w:rPr>
        <w:t xml:space="preserve"> </w:t>
      </w:r>
      <w:r>
        <w:rPr>
          <w:spacing w:val="-4"/>
        </w:rPr>
        <w:t>ﬁ</w:t>
      </w:r>
      <w:r>
        <w:rPr>
          <w:spacing w:val="-4"/>
        </w:rPr>
        <w:t>le.</w:t>
      </w:r>
    </w:p>
    <w:p w14:paraId="62DF2857" w14:textId="77777777" w:rsidR="00EE53E5" w:rsidRDefault="00EE53E5">
      <w:pPr>
        <w:pStyle w:val="BodyText"/>
        <w:spacing w:before="51"/>
        <w:ind w:left="1079"/>
      </w:pPr>
    </w:p>
    <w:p w14:paraId="458DE04E" w14:textId="77777777" w:rsidR="00DD18DB" w:rsidRDefault="00817F70">
      <w:pPr>
        <w:pStyle w:val="BodyText"/>
        <w:spacing w:before="53" w:line="278" w:lineRule="auto"/>
        <w:ind w:left="359" w:right="50"/>
      </w:pPr>
      <w:r>
        <w:t>The</w:t>
      </w:r>
      <w:r>
        <w:rPr>
          <w:spacing w:val="-6"/>
        </w:rPr>
        <w:t xml:space="preserve"> </w:t>
      </w:r>
      <w:r>
        <w:t>most</w:t>
      </w:r>
      <w:r>
        <w:rPr>
          <w:spacing w:val="-6"/>
        </w:rPr>
        <w:t xml:space="preserve"> </w:t>
      </w:r>
      <w:r>
        <w:t>signiﬁcant</w:t>
      </w:r>
      <w:r>
        <w:rPr>
          <w:spacing w:val="-5"/>
        </w:rPr>
        <w:t xml:space="preserve"> </w:t>
      </w:r>
      <w:r>
        <w:t>concerns</w:t>
      </w:r>
      <w:r>
        <w:rPr>
          <w:spacing w:val="-6"/>
        </w:rPr>
        <w:t xml:space="preserve"> </w:t>
      </w:r>
      <w:r>
        <w:t>that</w:t>
      </w:r>
      <w:r>
        <w:rPr>
          <w:spacing w:val="-6"/>
        </w:rPr>
        <w:t xml:space="preserve"> </w:t>
      </w:r>
      <w:r>
        <w:t>were</w:t>
      </w:r>
      <w:r>
        <w:rPr>
          <w:spacing w:val="-5"/>
        </w:rPr>
        <w:t xml:space="preserve"> </w:t>
      </w:r>
      <w:r>
        <w:t>raised</w:t>
      </w:r>
      <w:r>
        <w:rPr>
          <w:spacing w:val="-7"/>
        </w:rPr>
        <w:t xml:space="preserve"> </w:t>
      </w:r>
      <w:r>
        <w:t>by</w:t>
      </w:r>
      <w:r>
        <w:rPr>
          <w:spacing w:val="-7"/>
        </w:rPr>
        <w:t xml:space="preserve"> </w:t>
      </w:r>
      <w:r>
        <w:t>the</w:t>
      </w:r>
      <w:r>
        <w:rPr>
          <w:spacing w:val="-6"/>
        </w:rPr>
        <w:t xml:space="preserve"> </w:t>
      </w:r>
      <w:r>
        <w:t>Heads</w:t>
      </w:r>
      <w:r>
        <w:rPr>
          <w:spacing w:val="-5"/>
        </w:rPr>
        <w:t xml:space="preserve"> </w:t>
      </w:r>
      <w:r>
        <w:t>and</w:t>
      </w:r>
      <w:r>
        <w:rPr>
          <w:spacing w:val="-7"/>
        </w:rPr>
        <w:t xml:space="preserve"> </w:t>
      </w:r>
      <w:r>
        <w:t>Deans</w:t>
      </w:r>
      <w:r>
        <w:rPr>
          <w:spacing w:val="-5"/>
        </w:rPr>
        <w:t xml:space="preserve"> </w:t>
      </w:r>
      <w:r>
        <w:t>included ensuring</w:t>
      </w:r>
      <w:r>
        <w:rPr>
          <w:spacing w:val="-2"/>
        </w:rPr>
        <w:t xml:space="preserve"> </w:t>
      </w:r>
      <w:r>
        <w:t>that</w:t>
      </w:r>
      <w:r>
        <w:rPr>
          <w:spacing w:val="-2"/>
        </w:rPr>
        <w:t xml:space="preserve"> </w:t>
      </w:r>
      <w:r>
        <w:t>the</w:t>
      </w:r>
      <w:r>
        <w:rPr>
          <w:spacing w:val="-2"/>
        </w:rPr>
        <w:t xml:space="preserve"> </w:t>
      </w:r>
      <w:r>
        <w:t>proposed</w:t>
      </w:r>
      <w:r>
        <w:rPr>
          <w:spacing w:val="-2"/>
        </w:rPr>
        <w:t xml:space="preserve"> </w:t>
      </w:r>
      <w:r>
        <w:t>budgets</w:t>
      </w:r>
      <w:r>
        <w:rPr>
          <w:spacing w:val="-2"/>
        </w:rPr>
        <w:t xml:space="preserve"> </w:t>
      </w:r>
      <w:r>
        <w:t>meet</w:t>
      </w:r>
      <w:r>
        <w:rPr>
          <w:spacing w:val="-2"/>
        </w:rPr>
        <w:t xml:space="preserve"> </w:t>
      </w:r>
      <w:r>
        <w:t>departmental</w:t>
      </w:r>
      <w:r>
        <w:rPr>
          <w:spacing w:val="-2"/>
        </w:rPr>
        <w:t xml:space="preserve"> </w:t>
      </w:r>
      <w:r>
        <w:t>standards</w:t>
      </w:r>
      <w:r>
        <w:rPr>
          <w:spacing w:val="-2"/>
        </w:rPr>
        <w:t xml:space="preserve"> </w:t>
      </w:r>
      <w:r>
        <w:t>for</w:t>
      </w:r>
      <w:r>
        <w:rPr>
          <w:spacing w:val="-2"/>
        </w:rPr>
        <w:t xml:space="preserve"> </w:t>
      </w:r>
      <w:r>
        <w:t>academic year eﬀort, graduate student and/or other salary support; activities involving renovations, constructions and unique space needs were addressed in advance; no new funds were committed without their approval; and changes to PI roles were addressed at the appropriate leadership level.</w:t>
      </w:r>
      <w:r>
        <w:rPr>
          <w:spacing w:val="40"/>
        </w:rPr>
        <w:t xml:space="preserve"> </w:t>
      </w:r>
      <w:r>
        <w:t>These examples reﬂect situations where business oﬃce discussions for awareness and approvals would be considered appropriate.</w:t>
      </w:r>
    </w:p>
    <w:p w14:paraId="458DE04F" w14:textId="77777777" w:rsidR="00DD18DB" w:rsidRDefault="00DD18DB">
      <w:pPr>
        <w:pStyle w:val="BodyText"/>
        <w:spacing w:before="50"/>
        <w:ind w:left="0"/>
      </w:pPr>
    </w:p>
    <w:p w14:paraId="458DE050" w14:textId="77777777" w:rsidR="00DD18DB" w:rsidRDefault="00817F70">
      <w:pPr>
        <w:pStyle w:val="BodyText"/>
        <w:spacing w:line="278" w:lineRule="auto"/>
        <w:ind w:left="359" w:right="379"/>
      </w:pPr>
      <w:r>
        <w:t>Pre-Award and Post Award specialists, and Departmental Business Oﬃcers are expected</w:t>
      </w:r>
      <w:r>
        <w:rPr>
          <w:spacing w:val="-4"/>
        </w:rPr>
        <w:t xml:space="preserve"> </w:t>
      </w:r>
      <w:r>
        <w:t>to</w:t>
      </w:r>
      <w:r>
        <w:rPr>
          <w:spacing w:val="-3"/>
        </w:rPr>
        <w:t xml:space="preserve"> </w:t>
      </w:r>
      <w:r>
        <w:t>utilize</w:t>
      </w:r>
      <w:r>
        <w:rPr>
          <w:spacing w:val="-2"/>
        </w:rPr>
        <w:t xml:space="preserve"> </w:t>
      </w:r>
      <w:r>
        <w:t>departmental</w:t>
      </w:r>
      <w:r>
        <w:rPr>
          <w:spacing w:val="-4"/>
        </w:rPr>
        <w:t xml:space="preserve"> </w:t>
      </w:r>
      <w:r>
        <w:t>guidelines</w:t>
      </w:r>
      <w:r>
        <w:rPr>
          <w:spacing w:val="-3"/>
        </w:rPr>
        <w:t xml:space="preserve"> </w:t>
      </w:r>
      <w:r>
        <w:t>to</w:t>
      </w:r>
      <w:r>
        <w:rPr>
          <w:spacing w:val="-3"/>
        </w:rPr>
        <w:t xml:space="preserve"> </w:t>
      </w:r>
      <w:r>
        <w:t>inform</w:t>
      </w:r>
      <w:r>
        <w:rPr>
          <w:spacing w:val="-3"/>
        </w:rPr>
        <w:t xml:space="preserve"> </w:t>
      </w:r>
      <w:r>
        <w:t>budget</w:t>
      </w:r>
      <w:r>
        <w:rPr>
          <w:spacing w:val="-2"/>
        </w:rPr>
        <w:t xml:space="preserve"> </w:t>
      </w:r>
      <w:r>
        <w:t>development</w:t>
      </w:r>
      <w:r>
        <w:rPr>
          <w:spacing w:val="-3"/>
        </w:rPr>
        <w:t xml:space="preserve"> </w:t>
      </w:r>
      <w:r>
        <w:t>(AY eﬀort, graduate salaries, etc.), and will address cost share commitments and special</w:t>
      </w:r>
      <w:r>
        <w:rPr>
          <w:spacing w:val="-8"/>
        </w:rPr>
        <w:t xml:space="preserve"> </w:t>
      </w:r>
      <w:r>
        <w:t>review</w:t>
      </w:r>
      <w:r>
        <w:rPr>
          <w:spacing w:val="-7"/>
        </w:rPr>
        <w:t xml:space="preserve"> </w:t>
      </w:r>
      <w:r>
        <w:t>items</w:t>
      </w:r>
      <w:r>
        <w:rPr>
          <w:spacing w:val="-6"/>
        </w:rPr>
        <w:t xml:space="preserve"> </w:t>
      </w:r>
      <w:r>
        <w:t>via</w:t>
      </w:r>
      <w:r>
        <w:rPr>
          <w:spacing w:val="-7"/>
        </w:rPr>
        <w:t xml:space="preserve"> </w:t>
      </w:r>
      <w:r>
        <w:t>ancillary</w:t>
      </w:r>
      <w:r>
        <w:rPr>
          <w:spacing w:val="-8"/>
        </w:rPr>
        <w:t xml:space="preserve"> </w:t>
      </w:r>
      <w:r>
        <w:t>review</w:t>
      </w:r>
      <w:r>
        <w:rPr>
          <w:spacing w:val="-7"/>
        </w:rPr>
        <w:t xml:space="preserve"> </w:t>
      </w:r>
      <w:r>
        <w:t>or</w:t>
      </w:r>
      <w:r>
        <w:rPr>
          <w:spacing w:val="-7"/>
        </w:rPr>
        <w:t xml:space="preserve"> </w:t>
      </w:r>
      <w:r>
        <w:t>email</w:t>
      </w:r>
      <w:r>
        <w:rPr>
          <w:spacing w:val="-8"/>
        </w:rPr>
        <w:t xml:space="preserve"> </w:t>
      </w:r>
      <w:r>
        <w:t>approval.</w:t>
      </w:r>
      <w:r>
        <w:rPr>
          <w:spacing w:val="40"/>
        </w:rPr>
        <w:t xml:space="preserve"> </w:t>
      </w:r>
      <w:r>
        <w:t>Additionally,</w:t>
      </w:r>
      <w:r>
        <w:rPr>
          <w:spacing w:val="-6"/>
        </w:rPr>
        <w:t xml:space="preserve"> </w:t>
      </w:r>
      <w:r>
        <w:t>it</w:t>
      </w:r>
      <w:r>
        <w:rPr>
          <w:spacing w:val="-7"/>
        </w:rPr>
        <w:t xml:space="preserve"> </w:t>
      </w:r>
      <w:r>
        <w:t>is</w:t>
      </w:r>
      <w:r>
        <w:rPr>
          <w:spacing w:val="-7"/>
        </w:rPr>
        <w:t xml:space="preserve"> </w:t>
      </w:r>
      <w:r>
        <w:t>an expectation that monthly reporting would be a discussion topic between the business oﬃce and departmental leadership to ensure understanding of departmental impacts. If additional questions arise during the review process, they will be elevated to unit leads and/or business oﬃces prior to submission.</w:t>
      </w:r>
    </w:p>
    <w:sectPr w:rsidR="00DD18DB">
      <w:pgSz w:w="12240" w:h="15840"/>
      <w:pgMar w:top="1420" w:right="1440" w:bottom="280" w:left="108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544097E"/>
    <w:multiLevelType w:val="hybridMultilevel"/>
    <w:tmpl w:val="975AFE94"/>
    <w:lvl w:ilvl="0" w:tplc="12A0ED12">
      <w:start w:val="1"/>
      <w:numFmt w:val="decimal"/>
      <w:lvlText w:val="%1."/>
      <w:lvlJc w:val="left"/>
      <w:pPr>
        <w:ind w:left="1077" w:hanging="361"/>
        <w:jc w:val="left"/>
      </w:pPr>
      <w:rPr>
        <w:rFonts w:ascii="Calibri" w:eastAsia="Calibri" w:hAnsi="Calibri" w:cs="Calibri" w:hint="default"/>
        <w:b w:val="0"/>
        <w:bCs w:val="0"/>
        <w:i w:val="0"/>
        <w:iCs w:val="0"/>
        <w:spacing w:val="-1"/>
        <w:w w:val="99"/>
        <w:sz w:val="28"/>
        <w:szCs w:val="28"/>
        <w:lang w:val="en-US" w:eastAsia="en-US" w:bidi="ar-SA"/>
      </w:rPr>
    </w:lvl>
    <w:lvl w:ilvl="1" w:tplc="7C3EB8E8">
      <w:numFmt w:val="bullet"/>
      <w:lvlText w:val="•"/>
      <w:lvlJc w:val="left"/>
      <w:pPr>
        <w:ind w:left="1944" w:hanging="361"/>
      </w:pPr>
      <w:rPr>
        <w:rFonts w:hint="default"/>
        <w:lang w:val="en-US" w:eastAsia="en-US" w:bidi="ar-SA"/>
      </w:rPr>
    </w:lvl>
    <w:lvl w:ilvl="2" w:tplc="54A0ED1A">
      <w:numFmt w:val="bullet"/>
      <w:lvlText w:val="•"/>
      <w:lvlJc w:val="left"/>
      <w:pPr>
        <w:ind w:left="2808" w:hanging="361"/>
      </w:pPr>
      <w:rPr>
        <w:rFonts w:hint="default"/>
        <w:lang w:val="en-US" w:eastAsia="en-US" w:bidi="ar-SA"/>
      </w:rPr>
    </w:lvl>
    <w:lvl w:ilvl="3" w:tplc="C592E9B0">
      <w:numFmt w:val="bullet"/>
      <w:lvlText w:val="•"/>
      <w:lvlJc w:val="left"/>
      <w:pPr>
        <w:ind w:left="3672" w:hanging="361"/>
      </w:pPr>
      <w:rPr>
        <w:rFonts w:hint="default"/>
        <w:lang w:val="en-US" w:eastAsia="en-US" w:bidi="ar-SA"/>
      </w:rPr>
    </w:lvl>
    <w:lvl w:ilvl="4" w:tplc="C9E6EFE6">
      <w:numFmt w:val="bullet"/>
      <w:lvlText w:val="•"/>
      <w:lvlJc w:val="left"/>
      <w:pPr>
        <w:ind w:left="4536" w:hanging="361"/>
      </w:pPr>
      <w:rPr>
        <w:rFonts w:hint="default"/>
        <w:lang w:val="en-US" w:eastAsia="en-US" w:bidi="ar-SA"/>
      </w:rPr>
    </w:lvl>
    <w:lvl w:ilvl="5" w:tplc="0B8A02CA">
      <w:numFmt w:val="bullet"/>
      <w:lvlText w:val="•"/>
      <w:lvlJc w:val="left"/>
      <w:pPr>
        <w:ind w:left="5400" w:hanging="361"/>
      </w:pPr>
      <w:rPr>
        <w:rFonts w:hint="default"/>
        <w:lang w:val="en-US" w:eastAsia="en-US" w:bidi="ar-SA"/>
      </w:rPr>
    </w:lvl>
    <w:lvl w:ilvl="6" w:tplc="5C98B146">
      <w:numFmt w:val="bullet"/>
      <w:lvlText w:val="•"/>
      <w:lvlJc w:val="left"/>
      <w:pPr>
        <w:ind w:left="6264" w:hanging="361"/>
      </w:pPr>
      <w:rPr>
        <w:rFonts w:hint="default"/>
        <w:lang w:val="en-US" w:eastAsia="en-US" w:bidi="ar-SA"/>
      </w:rPr>
    </w:lvl>
    <w:lvl w:ilvl="7" w:tplc="3CE0EA6C">
      <w:numFmt w:val="bullet"/>
      <w:lvlText w:val="•"/>
      <w:lvlJc w:val="left"/>
      <w:pPr>
        <w:ind w:left="7128" w:hanging="361"/>
      </w:pPr>
      <w:rPr>
        <w:rFonts w:hint="default"/>
        <w:lang w:val="en-US" w:eastAsia="en-US" w:bidi="ar-SA"/>
      </w:rPr>
    </w:lvl>
    <w:lvl w:ilvl="8" w:tplc="C7B8848A">
      <w:numFmt w:val="bullet"/>
      <w:lvlText w:val="•"/>
      <w:lvlJc w:val="left"/>
      <w:pPr>
        <w:ind w:left="7992" w:hanging="361"/>
      </w:pPr>
      <w:rPr>
        <w:rFonts w:hint="default"/>
        <w:lang w:val="en-US" w:eastAsia="en-US" w:bidi="ar-SA"/>
      </w:rPr>
    </w:lvl>
  </w:abstractNum>
  <w:abstractNum w:abstractNumId="1" w15:restartNumberingAfterBreak="0">
    <w:nsid w:val="6EDF3D4F"/>
    <w:multiLevelType w:val="hybridMultilevel"/>
    <w:tmpl w:val="79E6E7B2"/>
    <w:lvl w:ilvl="0" w:tplc="183C342A">
      <w:start w:val="1"/>
      <w:numFmt w:val="decimal"/>
      <w:lvlText w:val="%1."/>
      <w:lvlJc w:val="left"/>
      <w:pPr>
        <w:ind w:left="1079" w:hanging="361"/>
        <w:jc w:val="left"/>
      </w:pPr>
      <w:rPr>
        <w:rFonts w:ascii="Calibri" w:eastAsia="Calibri" w:hAnsi="Calibri" w:cs="Calibri" w:hint="default"/>
        <w:b w:val="0"/>
        <w:bCs w:val="0"/>
        <w:i w:val="0"/>
        <w:iCs w:val="0"/>
        <w:spacing w:val="-1"/>
        <w:w w:val="99"/>
        <w:sz w:val="28"/>
        <w:szCs w:val="28"/>
        <w:lang w:val="en-US" w:eastAsia="en-US" w:bidi="ar-SA"/>
      </w:rPr>
    </w:lvl>
    <w:lvl w:ilvl="1" w:tplc="8F8EE072">
      <w:numFmt w:val="bullet"/>
      <w:lvlText w:val="•"/>
      <w:lvlJc w:val="left"/>
      <w:pPr>
        <w:ind w:left="1944" w:hanging="361"/>
      </w:pPr>
      <w:rPr>
        <w:rFonts w:hint="default"/>
        <w:lang w:val="en-US" w:eastAsia="en-US" w:bidi="ar-SA"/>
      </w:rPr>
    </w:lvl>
    <w:lvl w:ilvl="2" w:tplc="3B34BE0C">
      <w:numFmt w:val="bullet"/>
      <w:lvlText w:val="•"/>
      <w:lvlJc w:val="left"/>
      <w:pPr>
        <w:ind w:left="2808" w:hanging="361"/>
      </w:pPr>
      <w:rPr>
        <w:rFonts w:hint="default"/>
        <w:lang w:val="en-US" w:eastAsia="en-US" w:bidi="ar-SA"/>
      </w:rPr>
    </w:lvl>
    <w:lvl w:ilvl="3" w:tplc="53625A0C">
      <w:numFmt w:val="bullet"/>
      <w:lvlText w:val="•"/>
      <w:lvlJc w:val="left"/>
      <w:pPr>
        <w:ind w:left="3672" w:hanging="361"/>
      </w:pPr>
      <w:rPr>
        <w:rFonts w:hint="default"/>
        <w:lang w:val="en-US" w:eastAsia="en-US" w:bidi="ar-SA"/>
      </w:rPr>
    </w:lvl>
    <w:lvl w:ilvl="4" w:tplc="EA60FE6C">
      <w:numFmt w:val="bullet"/>
      <w:lvlText w:val="•"/>
      <w:lvlJc w:val="left"/>
      <w:pPr>
        <w:ind w:left="4536" w:hanging="361"/>
      </w:pPr>
      <w:rPr>
        <w:rFonts w:hint="default"/>
        <w:lang w:val="en-US" w:eastAsia="en-US" w:bidi="ar-SA"/>
      </w:rPr>
    </w:lvl>
    <w:lvl w:ilvl="5" w:tplc="041AAFE8">
      <w:numFmt w:val="bullet"/>
      <w:lvlText w:val="•"/>
      <w:lvlJc w:val="left"/>
      <w:pPr>
        <w:ind w:left="5400" w:hanging="361"/>
      </w:pPr>
      <w:rPr>
        <w:rFonts w:hint="default"/>
        <w:lang w:val="en-US" w:eastAsia="en-US" w:bidi="ar-SA"/>
      </w:rPr>
    </w:lvl>
    <w:lvl w:ilvl="6" w:tplc="0A26C22E">
      <w:numFmt w:val="bullet"/>
      <w:lvlText w:val="•"/>
      <w:lvlJc w:val="left"/>
      <w:pPr>
        <w:ind w:left="6264" w:hanging="361"/>
      </w:pPr>
      <w:rPr>
        <w:rFonts w:hint="default"/>
        <w:lang w:val="en-US" w:eastAsia="en-US" w:bidi="ar-SA"/>
      </w:rPr>
    </w:lvl>
    <w:lvl w:ilvl="7" w:tplc="DB20E22E">
      <w:numFmt w:val="bullet"/>
      <w:lvlText w:val="•"/>
      <w:lvlJc w:val="left"/>
      <w:pPr>
        <w:ind w:left="7128" w:hanging="361"/>
      </w:pPr>
      <w:rPr>
        <w:rFonts w:hint="default"/>
        <w:lang w:val="en-US" w:eastAsia="en-US" w:bidi="ar-SA"/>
      </w:rPr>
    </w:lvl>
    <w:lvl w:ilvl="8" w:tplc="9A4603CC">
      <w:numFmt w:val="bullet"/>
      <w:lvlText w:val="•"/>
      <w:lvlJc w:val="left"/>
      <w:pPr>
        <w:ind w:left="7992" w:hanging="361"/>
      </w:pPr>
      <w:rPr>
        <w:rFonts w:hint="default"/>
        <w:lang w:val="en-US" w:eastAsia="en-US" w:bidi="ar-SA"/>
      </w:rPr>
    </w:lvl>
  </w:abstractNum>
  <w:num w:numId="1" w16cid:durableId="1523083720">
    <w:abstractNumId w:val="1"/>
  </w:num>
  <w:num w:numId="2" w16cid:durableId="50686843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D18DB"/>
    <w:rsid w:val="00817F70"/>
    <w:rsid w:val="00D83D20"/>
    <w:rsid w:val="00DD18DB"/>
    <w:rsid w:val="00EE53E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8DE03F"/>
  <w15:docId w15:val="{0CA634FF-CC0A-4181-BFE2-A23505E8A2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rPr>
  </w:style>
  <w:style w:type="paragraph" w:styleId="Heading1">
    <w:name w:val="heading 1"/>
    <w:basedOn w:val="Normal"/>
    <w:uiPriority w:val="9"/>
    <w:qFormat/>
    <w:pPr>
      <w:ind w:left="359"/>
      <w:jc w:val="center"/>
      <w:outlineLvl w:val="0"/>
    </w:pPr>
    <w:rPr>
      <w:b/>
      <w:bCs/>
      <w:sz w:val="56"/>
      <w:szCs w:val="56"/>
    </w:rPr>
  </w:style>
  <w:style w:type="paragraph" w:styleId="Heading2">
    <w:name w:val="heading 2"/>
    <w:basedOn w:val="Normal"/>
    <w:uiPriority w:val="9"/>
    <w:unhideWhenUsed/>
    <w:qFormat/>
    <w:pPr>
      <w:spacing w:before="19"/>
      <w:ind w:left="356"/>
      <w:outlineLvl w:val="1"/>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1077"/>
    </w:pPr>
    <w:rPr>
      <w:sz w:val="28"/>
      <w:szCs w:val="28"/>
    </w:rPr>
  </w:style>
  <w:style w:type="paragraph" w:styleId="ListParagraph">
    <w:name w:val="List Paragraph"/>
    <w:basedOn w:val="Normal"/>
    <w:uiPriority w:val="1"/>
    <w:qFormat/>
    <w:pPr>
      <w:ind w:left="1077" w:hanging="361"/>
    </w:pPr>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2</Pages>
  <Words>500</Words>
  <Characters>2923</Characters>
  <Application>Microsoft Office Word</Application>
  <DocSecurity>4</DocSecurity>
  <Lines>54</Lines>
  <Paragraphs>18</Paragraphs>
  <ScaleCrop>false</ScaleCrop>
  <Company>Purdue University</Company>
  <LinksUpToDate>false</LinksUpToDate>
  <CharactersWithSpaces>3405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Sandel, Ken L.</dc:creator>
  <dc:description/>
  <cp:lastModifiedBy>Susan M Corwin</cp:lastModifiedBy>
  <cp:revision>2</cp:revision>
  <dcterms:created xsi:type="dcterms:W3CDTF">2026-08-10T16:18:00Z</dcterms:created>
  <dcterms:modified xsi:type="dcterms:W3CDTF">2026-08-10T16:18:00Z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2024-10-10T00:00:00Z</vt:filetime>
  </property>
  <property fmtid="{D5CDD505-2E9C-101B-9397-08002B2CF9AE}" pid="3" name="Creator">
    <vt:lpwstr>Acrobat PDFMaker 24 for Word</vt:lpwstr>
  </property>
  <property fmtid="{D5CDD505-2E9C-101B-9397-08002B2CF9AE}" pid="4" name="LastSaved">
    <vt:filetime>2026-08-10T00:00:00Z</vt:filetime>
  </property>
  <property fmtid="{D5CDD505-2E9C-101B-9397-08002B2CF9AE}" pid="5" name="MSIP_Label_4044bd30-2ed7-4c9d-9d12-46200872a97b_ActionId">
    <vt:lpwstr>18ba4349-e946-4864-8c2f-8ef1be336fc5</vt:lpwstr>
  </property>
  <property fmtid="{D5CDD505-2E9C-101B-9397-08002B2CF9AE}" pid="6" name="MSIP_Label_4044bd30-2ed7-4c9d-9d12-46200872a97b_ContentBits">
    <vt:lpwstr>0</vt:lpwstr>
  </property>
  <property fmtid="{D5CDD505-2E9C-101B-9397-08002B2CF9AE}" pid="7" name="MSIP_Label_4044bd30-2ed7-4c9d-9d12-46200872a97b_Enabled">
    <vt:lpwstr>true</vt:lpwstr>
  </property>
  <property fmtid="{D5CDD505-2E9C-101B-9397-08002B2CF9AE}" pid="8" name="MSIP_Label_4044bd30-2ed7-4c9d-9d12-46200872a97b_Method">
    <vt:lpwstr>Standard</vt:lpwstr>
  </property>
  <property fmtid="{D5CDD505-2E9C-101B-9397-08002B2CF9AE}" pid="9" name="MSIP_Label_4044bd30-2ed7-4c9d-9d12-46200872a97b_Name">
    <vt:lpwstr>defa4170-0d19-0005-0004-bc88714345d2</vt:lpwstr>
  </property>
  <property fmtid="{D5CDD505-2E9C-101B-9397-08002B2CF9AE}" pid="10" name="MSIP_Label_4044bd30-2ed7-4c9d-9d12-46200872a97b_SetDate">
    <vt:lpwstr>2024-07-30T12:35:32Z</vt:lpwstr>
  </property>
  <property fmtid="{D5CDD505-2E9C-101B-9397-08002B2CF9AE}" pid="11" name="MSIP_Label_4044bd30-2ed7-4c9d-9d12-46200872a97b_SiteId">
    <vt:lpwstr>4130bd39-7c53-419c-b1e5-8758d6d63f21</vt:lpwstr>
  </property>
  <property fmtid="{D5CDD505-2E9C-101B-9397-08002B2CF9AE}" pid="12" name="Producer">
    <vt:lpwstr>Adobe PDF Library 24.3.212</vt:lpwstr>
  </property>
  <property fmtid="{D5CDD505-2E9C-101B-9397-08002B2CF9AE}" pid="13" name="SourceModified">
    <vt:lpwstr>D:20240912122945</vt:lpwstr>
  </property>
</Properties>
</file>