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1982" w14:textId="77777777" w:rsidR="009C1711" w:rsidRDefault="00000000">
      <w:pPr>
        <w:ind w:left="3788"/>
        <w:rPr>
          <w:sz w:val="20"/>
        </w:rPr>
      </w:pPr>
      <w:r>
        <w:rPr>
          <w:noProof/>
          <w:sz w:val="20"/>
        </w:rPr>
        <w:drawing>
          <wp:inline distT="0" distB="0" distL="0" distR="0" wp14:anchorId="018DA3DA" wp14:editId="4DD77BFB">
            <wp:extent cx="2044007" cy="365872"/>
            <wp:effectExtent l="0" t="0" r="0" b="0"/>
            <wp:docPr id="2" name="Image 2" descr="Purdue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urdue University"/>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4007" cy="365872"/>
                    </a:xfrm>
                    <a:prstGeom prst="rect">
                      <a:avLst/>
                    </a:prstGeom>
                  </pic:spPr>
                </pic:pic>
              </a:graphicData>
            </a:graphic>
          </wp:inline>
        </w:drawing>
      </w:r>
    </w:p>
    <w:p w14:paraId="6B953A69" w14:textId="77777777" w:rsidR="009C1711" w:rsidRDefault="009C1711">
      <w:pPr>
        <w:pStyle w:val="BodyText"/>
        <w:spacing w:before="74"/>
      </w:pPr>
    </w:p>
    <w:p w14:paraId="56EEB219" w14:textId="77777777" w:rsidR="009C1711" w:rsidRDefault="00000000">
      <w:pPr>
        <w:pStyle w:val="Heading1"/>
      </w:pPr>
      <w:r>
        <w:t>Retirement</w:t>
      </w:r>
      <w:r>
        <w:rPr>
          <w:spacing w:val="-12"/>
        </w:rPr>
        <w:t xml:space="preserve"> </w:t>
      </w:r>
      <w:r>
        <w:t>Plan</w:t>
      </w:r>
      <w:r>
        <w:rPr>
          <w:spacing w:val="-12"/>
        </w:rPr>
        <w:t xml:space="preserve"> </w:t>
      </w:r>
      <w:r>
        <w:t>Committee</w:t>
      </w:r>
      <w:r>
        <w:rPr>
          <w:spacing w:val="-13"/>
        </w:rPr>
        <w:t xml:space="preserve"> </w:t>
      </w:r>
      <w:r>
        <w:t>Minutes November 16, 2020</w:t>
      </w:r>
    </w:p>
    <w:p w14:paraId="1E334EE9" w14:textId="77777777" w:rsidR="009C1711" w:rsidRDefault="00000000">
      <w:pPr>
        <w:spacing w:line="293" w:lineRule="exact"/>
        <w:ind w:left="3079" w:right="2720"/>
        <w:jc w:val="center"/>
        <w:rPr>
          <w:rFonts w:ascii="Calibri"/>
          <w:b/>
          <w:sz w:val="24"/>
        </w:rPr>
      </w:pPr>
      <w:r>
        <w:rPr>
          <w:rFonts w:ascii="Calibri"/>
          <w:b/>
          <w:sz w:val="24"/>
        </w:rPr>
        <w:t>1-3</w:t>
      </w:r>
      <w:r>
        <w:rPr>
          <w:rFonts w:ascii="Calibri"/>
          <w:b/>
          <w:spacing w:val="-1"/>
          <w:sz w:val="24"/>
        </w:rPr>
        <w:t xml:space="preserve"> </w:t>
      </w:r>
      <w:r>
        <w:rPr>
          <w:rFonts w:ascii="Calibri"/>
          <w:b/>
          <w:spacing w:val="-4"/>
          <w:sz w:val="24"/>
        </w:rPr>
        <w:t>p.m.</w:t>
      </w:r>
    </w:p>
    <w:p w14:paraId="316714B7" w14:textId="77777777" w:rsidR="009C1711" w:rsidRDefault="00000000">
      <w:pPr>
        <w:pStyle w:val="Heading2"/>
      </w:pPr>
      <w:r>
        <w:t xml:space="preserve">via </w:t>
      </w:r>
      <w:r>
        <w:rPr>
          <w:spacing w:val="-2"/>
        </w:rPr>
        <w:t>Webex</w:t>
      </w:r>
    </w:p>
    <w:p w14:paraId="5A9282AD" w14:textId="77777777" w:rsidR="009C1711" w:rsidRDefault="009C1711">
      <w:pPr>
        <w:pStyle w:val="BodyText"/>
        <w:rPr>
          <w:rFonts w:ascii="Calibri"/>
          <w:b/>
          <w:i/>
        </w:rPr>
      </w:pPr>
    </w:p>
    <w:p w14:paraId="41AC0AA7" w14:textId="77777777" w:rsidR="009C1711" w:rsidRDefault="009C1711">
      <w:pPr>
        <w:pStyle w:val="BodyText"/>
        <w:spacing w:before="214"/>
        <w:rPr>
          <w:rFonts w:ascii="Calibri"/>
          <w:b/>
          <w:i/>
        </w:rPr>
      </w:pPr>
    </w:p>
    <w:p w14:paraId="0021806A" w14:textId="77777777" w:rsidR="009C1711" w:rsidRDefault="00000000">
      <w:pPr>
        <w:ind w:left="360" w:right="1604"/>
      </w:pPr>
      <w:r>
        <w:rPr>
          <w:u w:val="single"/>
        </w:rPr>
        <w:t>Present:</w:t>
      </w:r>
      <w:r>
        <w:rPr>
          <w:spacing w:val="-4"/>
        </w:rPr>
        <w:t xml:space="preserve"> </w:t>
      </w:r>
      <w:r>
        <w:t>Jim</w:t>
      </w:r>
      <w:r>
        <w:rPr>
          <w:spacing w:val="-6"/>
        </w:rPr>
        <w:t xml:space="preserve"> </w:t>
      </w:r>
      <w:r>
        <w:t>Almond,</w:t>
      </w:r>
      <w:r>
        <w:rPr>
          <w:spacing w:val="-2"/>
        </w:rPr>
        <w:t xml:space="preserve"> </w:t>
      </w:r>
      <w:r>
        <w:t>Bill</w:t>
      </w:r>
      <w:r>
        <w:rPr>
          <w:spacing w:val="-6"/>
        </w:rPr>
        <w:t xml:space="preserve"> </w:t>
      </w:r>
      <w:r>
        <w:t>Bell,</w:t>
      </w:r>
      <w:r>
        <w:rPr>
          <w:spacing w:val="-5"/>
        </w:rPr>
        <w:t xml:space="preserve"> </w:t>
      </w:r>
      <w:r>
        <w:t>Janine</w:t>
      </w:r>
      <w:r>
        <w:rPr>
          <w:spacing w:val="-2"/>
        </w:rPr>
        <w:t xml:space="preserve"> </w:t>
      </w:r>
      <w:r>
        <w:t>Gulbranson,</w:t>
      </w:r>
      <w:r>
        <w:rPr>
          <w:spacing w:val="-2"/>
        </w:rPr>
        <w:t xml:space="preserve"> </w:t>
      </w:r>
      <w:r>
        <w:t>Ryan</w:t>
      </w:r>
      <w:r>
        <w:rPr>
          <w:spacing w:val="-2"/>
        </w:rPr>
        <w:t xml:space="preserve"> </w:t>
      </w:r>
      <w:r>
        <w:t>Kay,</w:t>
      </w:r>
      <w:r>
        <w:rPr>
          <w:spacing w:val="-2"/>
        </w:rPr>
        <w:t xml:space="preserve"> </w:t>
      </w:r>
      <w:r>
        <w:t>Dean</w:t>
      </w:r>
      <w:r>
        <w:rPr>
          <w:spacing w:val="-2"/>
        </w:rPr>
        <w:t xml:space="preserve"> </w:t>
      </w:r>
      <w:r>
        <w:t>Lingley,</w:t>
      </w:r>
      <w:r>
        <w:rPr>
          <w:spacing w:val="-2"/>
        </w:rPr>
        <w:t xml:space="preserve"> </w:t>
      </w:r>
      <w:r>
        <w:t>Becky</w:t>
      </w:r>
      <w:r>
        <w:rPr>
          <w:spacing w:val="-5"/>
        </w:rPr>
        <w:t xml:space="preserve"> </w:t>
      </w:r>
      <w:r>
        <w:t>Beeler Scott Seidle, Candace Shaffer, Steve Turner, Blair Webb</w:t>
      </w:r>
    </w:p>
    <w:p w14:paraId="20480A86" w14:textId="77777777" w:rsidR="009C1711" w:rsidRDefault="009C1711">
      <w:pPr>
        <w:pStyle w:val="BodyText"/>
        <w:rPr>
          <w:sz w:val="22"/>
        </w:rPr>
      </w:pPr>
    </w:p>
    <w:p w14:paraId="06C86A03" w14:textId="77777777" w:rsidR="009C1711" w:rsidRDefault="00000000">
      <w:pPr>
        <w:ind w:left="360"/>
      </w:pPr>
      <w:r>
        <w:rPr>
          <w:u w:val="single"/>
        </w:rPr>
        <w:t>Unable</w:t>
      </w:r>
      <w:r>
        <w:rPr>
          <w:spacing w:val="-5"/>
          <w:u w:val="single"/>
        </w:rPr>
        <w:t xml:space="preserve"> </w:t>
      </w:r>
      <w:r>
        <w:rPr>
          <w:u w:val="single"/>
        </w:rPr>
        <w:t>to</w:t>
      </w:r>
      <w:r>
        <w:rPr>
          <w:spacing w:val="-3"/>
          <w:u w:val="single"/>
        </w:rPr>
        <w:t xml:space="preserve"> </w:t>
      </w:r>
      <w:r>
        <w:rPr>
          <w:u w:val="single"/>
        </w:rPr>
        <w:t>attend</w:t>
      </w:r>
      <w:r>
        <w:t>:</w:t>
      </w:r>
      <w:r>
        <w:rPr>
          <w:spacing w:val="-2"/>
        </w:rPr>
        <w:t xml:space="preserve"> </w:t>
      </w:r>
      <w:r>
        <w:t>David</w:t>
      </w:r>
      <w:r>
        <w:rPr>
          <w:spacing w:val="-5"/>
        </w:rPr>
        <w:t xml:space="preserve"> </w:t>
      </w:r>
      <w:r>
        <w:t>Janes,</w:t>
      </w:r>
      <w:r>
        <w:rPr>
          <w:spacing w:val="-3"/>
        </w:rPr>
        <w:t xml:space="preserve"> </w:t>
      </w:r>
      <w:r>
        <w:t>Fred</w:t>
      </w:r>
      <w:r>
        <w:rPr>
          <w:spacing w:val="-2"/>
        </w:rPr>
        <w:t xml:space="preserve"> </w:t>
      </w:r>
      <w:r>
        <w:rPr>
          <w:spacing w:val="-4"/>
        </w:rPr>
        <w:t>Ford</w:t>
      </w:r>
    </w:p>
    <w:p w14:paraId="5197A0D9" w14:textId="77777777" w:rsidR="009C1711" w:rsidRDefault="009C1711">
      <w:pPr>
        <w:pStyle w:val="BodyText"/>
        <w:rPr>
          <w:sz w:val="22"/>
        </w:rPr>
      </w:pPr>
    </w:p>
    <w:p w14:paraId="410281AB" w14:textId="77777777" w:rsidR="009C1711" w:rsidRDefault="00000000">
      <w:pPr>
        <w:ind w:left="1190" w:right="5176" w:hanging="831"/>
      </w:pPr>
      <w:r>
        <w:rPr>
          <w:u w:val="single"/>
        </w:rPr>
        <w:t>Guests:</w:t>
      </w:r>
      <w:r>
        <w:t xml:space="preserve"> Vanguard Institutional Investor Group: Anthony</w:t>
      </w:r>
      <w:r>
        <w:rPr>
          <w:spacing w:val="-9"/>
        </w:rPr>
        <w:t xml:space="preserve"> </w:t>
      </w:r>
      <w:r>
        <w:t>De</w:t>
      </w:r>
      <w:r>
        <w:rPr>
          <w:spacing w:val="-6"/>
        </w:rPr>
        <w:t xml:space="preserve"> </w:t>
      </w:r>
      <w:r>
        <w:t>Cesaris</w:t>
      </w:r>
      <w:r>
        <w:rPr>
          <w:spacing w:val="-6"/>
        </w:rPr>
        <w:t xml:space="preserve"> </w:t>
      </w:r>
      <w:r>
        <w:t>-</w:t>
      </w:r>
      <w:r>
        <w:rPr>
          <w:spacing w:val="-10"/>
        </w:rPr>
        <w:t xml:space="preserve"> </w:t>
      </w:r>
      <w:r>
        <w:t>Relationship</w:t>
      </w:r>
      <w:r>
        <w:rPr>
          <w:spacing w:val="-7"/>
        </w:rPr>
        <w:t xml:space="preserve"> </w:t>
      </w:r>
      <w:r>
        <w:t>Executive, Terry Hoard - Senior Director,</w:t>
      </w:r>
    </w:p>
    <w:p w14:paraId="183558FC" w14:textId="77777777" w:rsidR="009C1711" w:rsidRDefault="00000000">
      <w:pPr>
        <w:spacing w:line="252" w:lineRule="exact"/>
        <w:ind w:left="1190"/>
      </w:pPr>
      <w:r>
        <w:t>Michael</w:t>
      </w:r>
      <w:r>
        <w:rPr>
          <w:spacing w:val="-3"/>
        </w:rPr>
        <w:t xml:space="preserve"> </w:t>
      </w:r>
      <w:r>
        <w:t>Palazzi</w:t>
      </w:r>
      <w:r>
        <w:rPr>
          <w:spacing w:val="-3"/>
        </w:rPr>
        <w:t xml:space="preserve"> </w:t>
      </w:r>
      <w:r>
        <w:t>-</w:t>
      </w:r>
      <w:r>
        <w:rPr>
          <w:spacing w:val="-7"/>
        </w:rPr>
        <w:t xml:space="preserve"> </w:t>
      </w:r>
      <w:r>
        <w:t>Senior</w:t>
      </w:r>
      <w:r>
        <w:rPr>
          <w:spacing w:val="-5"/>
        </w:rPr>
        <w:t xml:space="preserve"> </w:t>
      </w:r>
      <w:r>
        <w:t>DC</w:t>
      </w:r>
      <w:r>
        <w:rPr>
          <w:spacing w:val="-2"/>
        </w:rPr>
        <w:t xml:space="preserve"> </w:t>
      </w:r>
      <w:r>
        <w:t>Investment</w:t>
      </w:r>
      <w:r>
        <w:rPr>
          <w:spacing w:val="-2"/>
        </w:rPr>
        <w:t xml:space="preserve"> Strategists</w:t>
      </w:r>
    </w:p>
    <w:p w14:paraId="51A3898C" w14:textId="77777777" w:rsidR="009C1711" w:rsidRDefault="009C1711">
      <w:pPr>
        <w:pStyle w:val="BodyText"/>
        <w:spacing w:before="25"/>
        <w:rPr>
          <w:sz w:val="22"/>
        </w:rPr>
      </w:pPr>
    </w:p>
    <w:p w14:paraId="09E09D13" w14:textId="77777777" w:rsidR="009C1711" w:rsidRDefault="00000000">
      <w:pPr>
        <w:pStyle w:val="BodyText"/>
        <w:ind w:left="359" w:right="116"/>
      </w:pPr>
      <w:r>
        <w:t>This</w:t>
      </w:r>
      <w:r>
        <w:rPr>
          <w:spacing w:val="-3"/>
        </w:rPr>
        <w:t xml:space="preserve"> </w:t>
      </w:r>
      <w:r>
        <w:t>was</w:t>
      </w:r>
      <w:r>
        <w:rPr>
          <w:spacing w:val="-3"/>
        </w:rPr>
        <w:t xml:space="preserve"> </w:t>
      </w:r>
      <w:r>
        <w:t>the</w:t>
      </w:r>
      <w:r>
        <w:rPr>
          <w:spacing w:val="-3"/>
        </w:rPr>
        <w:t xml:space="preserve"> </w:t>
      </w:r>
      <w:r>
        <w:t>regularly</w:t>
      </w:r>
      <w:r>
        <w:rPr>
          <w:spacing w:val="-7"/>
        </w:rPr>
        <w:t xml:space="preserve"> </w:t>
      </w:r>
      <w:r>
        <w:t>scheduled</w:t>
      </w:r>
      <w:r>
        <w:rPr>
          <w:spacing w:val="-3"/>
        </w:rPr>
        <w:t xml:space="preserve"> </w:t>
      </w:r>
      <w:r>
        <w:t>meeting</w:t>
      </w:r>
      <w:r>
        <w:rPr>
          <w:spacing w:val="-5"/>
        </w:rPr>
        <w:t xml:space="preserve"> </w:t>
      </w:r>
      <w:r>
        <w:t>of</w:t>
      </w:r>
      <w:r>
        <w:rPr>
          <w:spacing w:val="-3"/>
        </w:rPr>
        <w:t xml:space="preserve"> </w:t>
      </w:r>
      <w:r>
        <w:t>the</w:t>
      </w:r>
      <w:r>
        <w:rPr>
          <w:spacing w:val="-3"/>
        </w:rPr>
        <w:t xml:space="preserve"> </w:t>
      </w:r>
      <w:r>
        <w:t>Retirement</w:t>
      </w:r>
      <w:r>
        <w:rPr>
          <w:spacing w:val="-3"/>
        </w:rPr>
        <w:t xml:space="preserve"> </w:t>
      </w:r>
      <w:r>
        <w:t>Plan</w:t>
      </w:r>
      <w:r>
        <w:rPr>
          <w:spacing w:val="-3"/>
        </w:rPr>
        <w:t xml:space="preserve"> </w:t>
      </w:r>
      <w:r>
        <w:t>Committee</w:t>
      </w:r>
      <w:r>
        <w:rPr>
          <w:spacing w:val="-3"/>
        </w:rPr>
        <w:t xml:space="preserve"> </w:t>
      </w:r>
      <w:r>
        <w:t>for</w:t>
      </w:r>
      <w:r>
        <w:rPr>
          <w:spacing w:val="-3"/>
        </w:rPr>
        <w:t xml:space="preserve"> </w:t>
      </w:r>
      <w:r>
        <w:t>the</w:t>
      </w:r>
      <w:r>
        <w:rPr>
          <w:spacing w:val="-3"/>
        </w:rPr>
        <w:t xml:space="preserve"> </w:t>
      </w:r>
      <w:r>
        <w:t>Defined Contribution Plans of Purdue University.</w:t>
      </w:r>
    </w:p>
    <w:p w14:paraId="08F693E2" w14:textId="77777777" w:rsidR="009C1711" w:rsidRDefault="00000000">
      <w:pPr>
        <w:pStyle w:val="BodyText"/>
        <w:spacing w:before="274"/>
        <w:ind w:left="360"/>
      </w:pPr>
      <w:r>
        <w:t>Mr.</w:t>
      </w:r>
      <w:r>
        <w:rPr>
          <w:spacing w:val="-3"/>
        </w:rPr>
        <w:t xml:space="preserve"> </w:t>
      </w:r>
      <w:r>
        <w:t>Almond</w:t>
      </w:r>
      <w:r>
        <w:rPr>
          <w:spacing w:val="-3"/>
        </w:rPr>
        <w:t xml:space="preserve"> </w:t>
      </w:r>
      <w:r>
        <w:t>welcomed</w:t>
      </w:r>
      <w:r>
        <w:rPr>
          <w:spacing w:val="-3"/>
        </w:rPr>
        <w:t xml:space="preserve"> </w:t>
      </w:r>
      <w:r>
        <w:t>committee</w:t>
      </w:r>
      <w:r>
        <w:rPr>
          <w:spacing w:val="-4"/>
        </w:rPr>
        <w:t xml:space="preserve"> </w:t>
      </w:r>
      <w:r>
        <w:t>members</w:t>
      </w:r>
      <w:r>
        <w:rPr>
          <w:spacing w:val="-3"/>
        </w:rPr>
        <w:t xml:space="preserve"> </w:t>
      </w:r>
      <w:r>
        <w:t>to</w:t>
      </w:r>
      <w:r>
        <w:rPr>
          <w:spacing w:val="-3"/>
        </w:rPr>
        <w:t xml:space="preserve"> </w:t>
      </w:r>
      <w:r>
        <w:t>the</w:t>
      </w:r>
      <w:r>
        <w:rPr>
          <w:spacing w:val="-4"/>
        </w:rPr>
        <w:t xml:space="preserve"> </w:t>
      </w:r>
      <w:proofErr w:type="gramStart"/>
      <w:r>
        <w:t>meeting</w:t>
      </w:r>
      <w:proofErr w:type="gramEnd"/>
      <w:r>
        <w:rPr>
          <w:spacing w:val="-3"/>
        </w:rPr>
        <w:t xml:space="preserve"> </w:t>
      </w:r>
      <w:r>
        <w:t>and</w:t>
      </w:r>
      <w:r>
        <w:rPr>
          <w:spacing w:val="-3"/>
        </w:rPr>
        <w:t xml:space="preserve"> </w:t>
      </w:r>
      <w:r>
        <w:t>all</w:t>
      </w:r>
      <w:r>
        <w:rPr>
          <w:spacing w:val="-3"/>
        </w:rPr>
        <w:t xml:space="preserve"> </w:t>
      </w:r>
      <w:r>
        <w:t>introduced</w:t>
      </w:r>
      <w:r>
        <w:rPr>
          <w:spacing w:val="-3"/>
        </w:rPr>
        <w:t xml:space="preserve"> </w:t>
      </w:r>
      <w:r>
        <w:t>themselves.</w:t>
      </w:r>
      <w:r>
        <w:rPr>
          <w:spacing w:val="-3"/>
        </w:rPr>
        <w:t xml:space="preserve"> </w:t>
      </w:r>
      <w:r>
        <w:t>Mr.</w:t>
      </w:r>
      <w:r>
        <w:rPr>
          <w:spacing w:val="-3"/>
        </w:rPr>
        <w:t xml:space="preserve"> </w:t>
      </w:r>
      <w:r>
        <w:t>Almond then briefly reviewed the agenda.</w:t>
      </w:r>
    </w:p>
    <w:p w14:paraId="7693FE7E" w14:textId="77777777" w:rsidR="009C1711" w:rsidRDefault="009C1711">
      <w:pPr>
        <w:pStyle w:val="BodyText"/>
      </w:pPr>
    </w:p>
    <w:p w14:paraId="26972D39" w14:textId="77777777" w:rsidR="009C1711" w:rsidRDefault="00000000">
      <w:pPr>
        <w:pStyle w:val="BodyText"/>
        <w:ind w:left="359"/>
      </w:pPr>
      <w:r>
        <w:t>Targeted</w:t>
      </w:r>
      <w:r>
        <w:rPr>
          <w:spacing w:val="-3"/>
        </w:rPr>
        <w:t xml:space="preserve"> </w:t>
      </w:r>
      <w:r>
        <w:t>date</w:t>
      </w:r>
      <w:r>
        <w:rPr>
          <w:spacing w:val="-4"/>
        </w:rPr>
        <w:t xml:space="preserve"> </w:t>
      </w:r>
      <w:r>
        <w:t>funds</w:t>
      </w:r>
      <w:r>
        <w:rPr>
          <w:spacing w:val="-1"/>
        </w:rPr>
        <w:t xml:space="preserve"> </w:t>
      </w:r>
      <w:r>
        <w:t>are</w:t>
      </w:r>
      <w:r>
        <w:rPr>
          <w:spacing w:val="-4"/>
        </w:rPr>
        <w:t xml:space="preserve"> </w:t>
      </w:r>
      <w:r>
        <w:t>the</w:t>
      </w:r>
      <w:r>
        <w:rPr>
          <w:spacing w:val="-4"/>
        </w:rPr>
        <w:t xml:space="preserve"> </w:t>
      </w:r>
      <w:r>
        <w:t>retirement</w:t>
      </w:r>
      <w:r>
        <w:rPr>
          <w:spacing w:val="-3"/>
        </w:rPr>
        <w:t xml:space="preserve"> </w:t>
      </w:r>
      <w:r>
        <w:t>plan</w:t>
      </w:r>
      <w:r>
        <w:rPr>
          <w:spacing w:val="-3"/>
        </w:rPr>
        <w:t xml:space="preserve"> </w:t>
      </w:r>
      <w:r>
        <w:t>platform’s</w:t>
      </w:r>
      <w:r>
        <w:rPr>
          <w:spacing w:val="-3"/>
        </w:rPr>
        <w:t xml:space="preserve"> </w:t>
      </w:r>
      <w:r>
        <w:t>default</w:t>
      </w:r>
      <w:r>
        <w:rPr>
          <w:spacing w:val="-3"/>
        </w:rPr>
        <w:t xml:space="preserve"> </w:t>
      </w:r>
      <w:r>
        <w:t>option</w:t>
      </w:r>
      <w:r>
        <w:rPr>
          <w:spacing w:val="-3"/>
        </w:rPr>
        <w:t xml:space="preserve"> </w:t>
      </w:r>
      <w:r>
        <w:t>for</w:t>
      </w:r>
      <w:r>
        <w:rPr>
          <w:spacing w:val="-4"/>
        </w:rPr>
        <w:t xml:space="preserve"> </w:t>
      </w:r>
      <w:r>
        <w:t>participant</w:t>
      </w:r>
      <w:r>
        <w:rPr>
          <w:spacing w:val="-3"/>
        </w:rPr>
        <w:t xml:space="preserve"> </w:t>
      </w:r>
      <w:r>
        <w:t>enrollment</w:t>
      </w:r>
      <w:r>
        <w:rPr>
          <w:spacing w:val="-3"/>
        </w:rPr>
        <w:t xml:space="preserve"> </w:t>
      </w:r>
      <w:r>
        <w:t>for</w:t>
      </w:r>
      <w:r>
        <w:rPr>
          <w:spacing w:val="-4"/>
        </w:rPr>
        <w:t xml:space="preserve"> </w:t>
      </w:r>
      <w:r>
        <w:t>those individuals that do not actively elect investment options. The default option is consistent with guidance from the Department of Labor.</w:t>
      </w:r>
    </w:p>
    <w:p w14:paraId="10AEAA84" w14:textId="77777777" w:rsidR="009C1711" w:rsidRDefault="009C1711">
      <w:pPr>
        <w:pStyle w:val="BodyText"/>
      </w:pPr>
    </w:p>
    <w:p w14:paraId="17D05662" w14:textId="77777777" w:rsidR="009C1711" w:rsidRDefault="00000000">
      <w:pPr>
        <w:pStyle w:val="BodyText"/>
        <w:ind w:left="359"/>
      </w:pPr>
      <w:r>
        <w:t>Vanguard</w:t>
      </w:r>
      <w:r>
        <w:rPr>
          <w:spacing w:val="-3"/>
        </w:rPr>
        <w:t xml:space="preserve"> </w:t>
      </w:r>
      <w:r>
        <w:t>provided</w:t>
      </w:r>
      <w:r>
        <w:rPr>
          <w:spacing w:val="-3"/>
        </w:rPr>
        <w:t xml:space="preserve"> </w:t>
      </w:r>
      <w:r>
        <w:t>a</w:t>
      </w:r>
      <w:r>
        <w:rPr>
          <w:spacing w:val="-2"/>
        </w:rPr>
        <w:t xml:space="preserve"> </w:t>
      </w:r>
      <w:r>
        <w:t>firm</w:t>
      </w:r>
      <w:r>
        <w:rPr>
          <w:spacing w:val="-3"/>
        </w:rPr>
        <w:t xml:space="preserve"> </w:t>
      </w:r>
      <w:r>
        <w:t>overview</w:t>
      </w:r>
      <w:r>
        <w:rPr>
          <w:spacing w:val="-4"/>
        </w:rPr>
        <w:t xml:space="preserve"> </w:t>
      </w:r>
      <w:r>
        <w:t>and</w:t>
      </w:r>
      <w:r>
        <w:rPr>
          <w:spacing w:val="-3"/>
        </w:rPr>
        <w:t xml:space="preserve"> </w:t>
      </w:r>
      <w:r>
        <w:t>outlined</w:t>
      </w:r>
      <w:r>
        <w:rPr>
          <w:spacing w:val="-1"/>
        </w:rPr>
        <w:t xml:space="preserve"> </w:t>
      </w:r>
      <w:r>
        <w:t>their</w:t>
      </w:r>
      <w:r>
        <w:rPr>
          <w:spacing w:val="-4"/>
        </w:rPr>
        <w:t xml:space="preserve"> </w:t>
      </w:r>
      <w:r>
        <w:t>relationship</w:t>
      </w:r>
      <w:r>
        <w:rPr>
          <w:spacing w:val="-3"/>
        </w:rPr>
        <w:t xml:space="preserve"> </w:t>
      </w:r>
      <w:r>
        <w:t>with</w:t>
      </w:r>
      <w:r>
        <w:rPr>
          <w:spacing w:val="-3"/>
        </w:rPr>
        <w:t xml:space="preserve"> </w:t>
      </w:r>
      <w:r>
        <w:t>Purdue</w:t>
      </w:r>
      <w:r>
        <w:rPr>
          <w:spacing w:val="-4"/>
        </w:rPr>
        <w:t xml:space="preserve"> </w:t>
      </w:r>
      <w:r>
        <w:t>and</w:t>
      </w:r>
      <w:r>
        <w:rPr>
          <w:spacing w:val="-3"/>
        </w:rPr>
        <w:t xml:space="preserve"> </w:t>
      </w:r>
      <w:r>
        <w:t>its</w:t>
      </w:r>
      <w:r>
        <w:rPr>
          <w:spacing w:val="-3"/>
        </w:rPr>
        <w:t xml:space="preserve"> </w:t>
      </w:r>
      <w:r>
        <w:t>affiliated</w:t>
      </w:r>
      <w:r>
        <w:rPr>
          <w:spacing w:val="-3"/>
        </w:rPr>
        <w:t xml:space="preserve"> </w:t>
      </w:r>
      <w:r>
        <w:t xml:space="preserve">entities. Vanguard is a market leader </w:t>
      </w:r>
      <w:proofErr w:type="gramStart"/>
      <w:r>
        <w:t>in the area of</w:t>
      </w:r>
      <w:proofErr w:type="gramEnd"/>
      <w:r>
        <w:t xml:space="preserve"> Target-date funds. The representatives reviewed with the Committee the background, growth, and utilization of Target-date funds. The firm has a rigorous quantitative approach for constructing target date portfolios and associated glide paths that adjust overtime,</w:t>
      </w:r>
      <w:r>
        <w:rPr>
          <w:spacing w:val="-1"/>
        </w:rPr>
        <w:t xml:space="preserve"> </w:t>
      </w:r>
      <w:r>
        <w:t>taking</w:t>
      </w:r>
      <w:r>
        <w:rPr>
          <w:spacing w:val="-4"/>
        </w:rPr>
        <w:t xml:space="preserve"> </w:t>
      </w:r>
      <w:r>
        <w:t>into</w:t>
      </w:r>
      <w:r>
        <w:rPr>
          <w:spacing w:val="-1"/>
        </w:rPr>
        <w:t xml:space="preserve"> </w:t>
      </w:r>
      <w:proofErr w:type="gramStart"/>
      <w:r>
        <w:t>consideration,</w:t>
      </w:r>
      <w:proofErr w:type="gramEnd"/>
      <w:r>
        <w:rPr>
          <w:spacing w:val="-1"/>
        </w:rPr>
        <w:t xml:space="preserve"> </w:t>
      </w:r>
      <w:r>
        <w:t>the</w:t>
      </w:r>
      <w:r>
        <w:rPr>
          <w:spacing w:val="-2"/>
        </w:rPr>
        <w:t xml:space="preserve"> </w:t>
      </w:r>
      <w:r>
        <w:t>participant’s</w:t>
      </w:r>
      <w:r>
        <w:rPr>
          <w:spacing w:val="-1"/>
        </w:rPr>
        <w:t xml:space="preserve"> </w:t>
      </w:r>
      <w:r>
        <w:t>time</w:t>
      </w:r>
      <w:r>
        <w:rPr>
          <w:spacing w:val="-2"/>
        </w:rPr>
        <w:t xml:space="preserve"> </w:t>
      </w:r>
      <w:r>
        <w:t>to</w:t>
      </w:r>
      <w:r>
        <w:rPr>
          <w:spacing w:val="-1"/>
        </w:rPr>
        <w:t xml:space="preserve"> </w:t>
      </w:r>
      <w:proofErr w:type="gramStart"/>
      <w:r>
        <w:t>retirement</w:t>
      </w:r>
      <w:proofErr w:type="gramEnd"/>
      <w:r>
        <w:t>.</w:t>
      </w:r>
      <w:r>
        <w:rPr>
          <w:spacing w:val="-1"/>
        </w:rPr>
        <w:t xml:space="preserve"> </w:t>
      </w:r>
      <w:r>
        <w:t>Vanguard</w:t>
      </w:r>
      <w:r>
        <w:rPr>
          <w:spacing w:val="-1"/>
        </w:rPr>
        <w:t xml:space="preserve"> </w:t>
      </w:r>
      <w:r>
        <w:t>offers</w:t>
      </w:r>
      <w:r>
        <w:rPr>
          <w:spacing w:val="-1"/>
        </w:rPr>
        <w:t xml:space="preserve"> </w:t>
      </w:r>
      <w:r>
        <w:t>one</w:t>
      </w:r>
      <w:r>
        <w:rPr>
          <w:spacing w:val="-2"/>
        </w:rPr>
        <w:t xml:space="preserve"> </w:t>
      </w:r>
      <w:r>
        <w:t>of</w:t>
      </w:r>
      <w:r>
        <w:rPr>
          <w:spacing w:val="-2"/>
        </w:rPr>
        <w:t xml:space="preserve"> </w:t>
      </w:r>
      <w:r>
        <w:t>the</w:t>
      </w:r>
      <w:r>
        <w:rPr>
          <w:spacing w:val="-1"/>
        </w:rPr>
        <w:t xml:space="preserve"> </w:t>
      </w:r>
      <w:r>
        <w:t xml:space="preserve">most </w:t>
      </w:r>
      <w:proofErr w:type="gramStart"/>
      <w:r>
        <w:t>cost effective</w:t>
      </w:r>
      <w:proofErr w:type="gramEnd"/>
      <w:r>
        <w:t xml:space="preserve"> target date options in the industry using index funds in the construction of the underlying portfolios, diversifying with equity</w:t>
      </w:r>
      <w:r>
        <w:rPr>
          <w:spacing w:val="-1"/>
        </w:rPr>
        <w:t xml:space="preserve"> </w:t>
      </w:r>
      <w:r>
        <w:t>and fixed income index funds both domestically and internationally. Investment performance information was also included in the presentation shared with Committee members. For contrast and comparison, the glide paths were also shared for other major firms.</w:t>
      </w:r>
    </w:p>
    <w:p w14:paraId="2E8EAB92" w14:textId="77777777" w:rsidR="009C1711" w:rsidRDefault="009C1711">
      <w:pPr>
        <w:pStyle w:val="BodyText"/>
      </w:pPr>
    </w:p>
    <w:p w14:paraId="3258BBD5" w14:textId="77777777" w:rsidR="009C1711" w:rsidRDefault="00000000">
      <w:pPr>
        <w:pStyle w:val="BodyText"/>
        <w:ind w:left="359"/>
      </w:pPr>
      <w:r>
        <w:t>Vanguard</w:t>
      </w:r>
      <w:r>
        <w:rPr>
          <w:spacing w:val="-1"/>
        </w:rPr>
        <w:t xml:space="preserve"> </w:t>
      </w:r>
      <w:r>
        <w:t>also</w:t>
      </w:r>
      <w:r>
        <w:rPr>
          <w:spacing w:val="-3"/>
        </w:rPr>
        <w:t xml:space="preserve"> </w:t>
      </w:r>
      <w:r>
        <w:t>reviewed</w:t>
      </w:r>
      <w:r>
        <w:rPr>
          <w:spacing w:val="-1"/>
        </w:rPr>
        <w:t xml:space="preserve"> </w:t>
      </w:r>
      <w:r>
        <w:t>and</w:t>
      </w:r>
      <w:r>
        <w:rPr>
          <w:spacing w:val="-3"/>
        </w:rPr>
        <w:t xml:space="preserve"> </w:t>
      </w:r>
      <w:r>
        <w:t>provided</w:t>
      </w:r>
      <w:r>
        <w:rPr>
          <w:spacing w:val="-3"/>
        </w:rPr>
        <w:t xml:space="preserve"> </w:t>
      </w:r>
      <w:r>
        <w:t>performance</w:t>
      </w:r>
      <w:r>
        <w:rPr>
          <w:spacing w:val="-4"/>
        </w:rPr>
        <w:t xml:space="preserve"> </w:t>
      </w:r>
      <w:r>
        <w:t>and</w:t>
      </w:r>
      <w:r>
        <w:rPr>
          <w:spacing w:val="-3"/>
        </w:rPr>
        <w:t xml:space="preserve"> </w:t>
      </w:r>
      <w:r>
        <w:t>background</w:t>
      </w:r>
      <w:r>
        <w:rPr>
          <w:spacing w:val="-3"/>
        </w:rPr>
        <w:t xml:space="preserve"> </w:t>
      </w:r>
      <w:r>
        <w:t>information</w:t>
      </w:r>
      <w:r>
        <w:rPr>
          <w:spacing w:val="-3"/>
        </w:rPr>
        <w:t xml:space="preserve"> </w:t>
      </w:r>
      <w:r>
        <w:t>for</w:t>
      </w:r>
      <w:r>
        <w:rPr>
          <w:spacing w:val="-4"/>
        </w:rPr>
        <w:t xml:space="preserve"> </w:t>
      </w:r>
      <w:r>
        <w:t>the</w:t>
      </w:r>
      <w:r>
        <w:rPr>
          <w:spacing w:val="-4"/>
        </w:rPr>
        <w:t xml:space="preserve"> </w:t>
      </w:r>
      <w:r>
        <w:t>five</w:t>
      </w:r>
      <w:r>
        <w:rPr>
          <w:spacing w:val="-4"/>
        </w:rPr>
        <w:t xml:space="preserve"> </w:t>
      </w:r>
      <w:r>
        <w:t xml:space="preserve">individual index funds options available to </w:t>
      </w:r>
      <w:proofErr w:type="gramStart"/>
      <w:r>
        <w:t>participant</w:t>
      </w:r>
      <w:proofErr w:type="gramEnd"/>
      <w:r>
        <w:t xml:space="preserve"> in the retirement plan platform.</w:t>
      </w:r>
    </w:p>
    <w:p w14:paraId="112AB246" w14:textId="77777777" w:rsidR="009C1711" w:rsidRDefault="009C1711">
      <w:pPr>
        <w:pStyle w:val="BodyText"/>
      </w:pPr>
    </w:p>
    <w:p w14:paraId="2E05DD61" w14:textId="77777777" w:rsidR="009C1711" w:rsidRDefault="00000000">
      <w:pPr>
        <w:pStyle w:val="BodyText"/>
        <w:ind w:left="360" w:right="116"/>
      </w:pPr>
      <w:r>
        <w:t>The</w:t>
      </w:r>
      <w:r>
        <w:rPr>
          <w:spacing w:val="-4"/>
        </w:rPr>
        <w:t xml:space="preserve"> </w:t>
      </w:r>
      <w:r>
        <w:t>Committee</w:t>
      </w:r>
      <w:r>
        <w:rPr>
          <w:spacing w:val="-4"/>
        </w:rPr>
        <w:t xml:space="preserve"> </w:t>
      </w:r>
      <w:r>
        <w:t>reviewed</w:t>
      </w:r>
      <w:r>
        <w:rPr>
          <w:spacing w:val="-1"/>
        </w:rPr>
        <w:t xml:space="preserve"> </w:t>
      </w:r>
      <w:r>
        <w:t>and</w:t>
      </w:r>
      <w:r>
        <w:rPr>
          <w:spacing w:val="-3"/>
        </w:rPr>
        <w:t xml:space="preserve"> </w:t>
      </w:r>
      <w:r>
        <w:t>approved</w:t>
      </w:r>
      <w:r>
        <w:rPr>
          <w:spacing w:val="-1"/>
        </w:rPr>
        <w:t xml:space="preserve"> </w:t>
      </w:r>
      <w:r>
        <w:t>the</w:t>
      </w:r>
      <w:r>
        <w:rPr>
          <w:spacing w:val="-4"/>
        </w:rPr>
        <w:t xml:space="preserve"> </w:t>
      </w:r>
      <w:r>
        <w:t>April</w:t>
      </w:r>
      <w:r>
        <w:rPr>
          <w:spacing w:val="-1"/>
        </w:rPr>
        <w:t xml:space="preserve"> </w:t>
      </w:r>
      <w:r>
        <w:t>13,</w:t>
      </w:r>
      <w:r>
        <w:rPr>
          <w:spacing w:val="-3"/>
        </w:rPr>
        <w:t xml:space="preserve"> </w:t>
      </w:r>
      <w:r>
        <w:t>2020,</w:t>
      </w:r>
      <w:r>
        <w:rPr>
          <w:spacing w:val="-3"/>
        </w:rPr>
        <w:t xml:space="preserve"> </w:t>
      </w:r>
      <w:r>
        <w:t>minutes</w:t>
      </w:r>
      <w:r>
        <w:rPr>
          <w:spacing w:val="-3"/>
        </w:rPr>
        <w:t xml:space="preserve"> </w:t>
      </w:r>
      <w:r>
        <w:t>with</w:t>
      </w:r>
      <w:r>
        <w:rPr>
          <w:spacing w:val="-3"/>
        </w:rPr>
        <w:t xml:space="preserve"> </w:t>
      </w:r>
      <w:r>
        <w:t>a</w:t>
      </w:r>
      <w:r>
        <w:rPr>
          <w:spacing w:val="-4"/>
        </w:rPr>
        <w:t xml:space="preserve"> </w:t>
      </w:r>
      <w:r>
        <w:t>minor</w:t>
      </w:r>
      <w:r>
        <w:rPr>
          <w:spacing w:val="-4"/>
        </w:rPr>
        <w:t xml:space="preserve"> </w:t>
      </w:r>
      <w:r>
        <w:t>edit</w:t>
      </w:r>
      <w:r>
        <w:rPr>
          <w:spacing w:val="-3"/>
        </w:rPr>
        <w:t xml:space="preserve"> </w:t>
      </w:r>
      <w:r>
        <w:t>to</w:t>
      </w:r>
      <w:r>
        <w:rPr>
          <w:spacing w:val="-3"/>
        </w:rPr>
        <w:t xml:space="preserve"> </w:t>
      </w:r>
      <w:r>
        <w:t>a</w:t>
      </w:r>
      <w:r>
        <w:rPr>
          <w:spacing w:val="-4"/>
        </w:rPr>
        <w:t xml:space="preserve"> </w:t>
      </w:r>
      <w:r>
        <w:t xml:space="preserve">mistyped </w:t>
      </w:r>
      <w:r>
        <w:rPr>
          <w:spacing w:val="-2"/>
        </w:rPr>
        <w:t>word.</w:t>
      </w:r>
    </w:p>
    <w:p w14:paraId="320AA3B0" w14:textId="77777777" w:rsidR="009C1711" w:rsidRDefault="009C1711">
      <w:pPr>
        <w:pStyle w:val="BodyText"/>
        <w:sectPr w:rsidR="009C1711">
          <w:footerReference w:type="default" r:id="rId7"/>
          <w:type w:val="continuous"/>
          <w:pgSz w:w="12240" w:h="15840"/>
          <w:pgMar w:top="1060" w:right="1080" w:bottom="800" w:left="720" w:header="0" w:footer="609" w:gutter="0"/>
          <w:pgNumType w:start="1"/>
          <w:cols w:space="720"/>
        </w:sectPr>
      </w:pPr>
    </w:p>
    <w:p w14:paraId="5D365B6C" w14:textId="77777777" w:rsidR="009C1711" w:rsidRDefault="00000000">
      <w:pPr>
        <w:pStyle w:val="BodyText"/>
        <w:spacing w:before="63"/>
        <w:ind w:left="359" w:right="46"/>
      </w:pPr>
      <w:r>
        <w:lastRenderedPageBreak/>
        <w:t>Ms. Gulbranson provided the HR update on outreach and communication efforts, which included</w:t>
      </w:r>
      <w:r>
        <w:rPr>
          <w:spacing w:val="40"/>
        </w:rPr>
        <w:t xml:space="preserve"> </w:t>
      </w:r>
      <w:r>
        <w:t>articles and news shared through Purdue Today and the Healthy Boiler Newsletter. Fidelity provided virtual workshops in the spring. The local Fidelity office relocation and renovation project in PMU is scheduled to be completed 12/31. The Healthy Boiler ‘Road to Retirement’ event in September moved from a 1-day in-person to a 3-day virtual event that was extended to all campuses and had 503 participants. October workshops focused on health savings accounts, investing, and saving for retirement.</w:t>
      </w:r>
      <w:r>
        <w:rPr>
          <w:spacing w:val="-3"/>
        </w:rPr>
        <w:t xml:space="preserve"> </w:t>
      </w:r>
      <w:r>
        <w:t>Effective</w:t>
      </w:r>
      <w:r>
        <w:rPr>
          <w:spacing w:val="-4"/>
        </w:rPr>
        <w:t xml:space="preserve"> </w:t>
      </w:r>
      <w:r>
        <w:t>July</w:t>
      </w:r>
      <w:r>
        <w:rPr>
          <w:spacing w:val="-6"/>
        </w:rPr>
        <w:t xml:space="preserve"> </w:t>
      </w:r>
      <w:r>
        <w:t>28,</w:t>
      </w:r>
      <w:r>
        <w:rPr>
          <w:spacing w:val="-3"/>
        </w:rPr>
        <w:t xml:space="preserve"> </w:t>
      </w:r>
      <w:r>
        <w:t>the</w:t>
      </w:r>
      <w:r>
        <w:rPr>
          <w:spacing w:val="-4"/>
        </w:rPr>
        <w:t xml:space="preserve"> </w:t>
      </w:r>
      <w:r>
        <w:t>Harbor</w:t>
      </w:r>
      <w:r>
        <w:rPr>
          <w:spacing w:val="-2"/>
        </w:rPr>
        <w:t xml:space="preserve"> </w:t>
      </w:r>
      <w:r>
        <w:t>High</w:t>
      </w:r>
      <w:r>
        <w:rPr>
          <w:spacing w:val="-1"/>
        </w:rPr>
        <w:t xml:space="preserve"> </w:t>
      </w:r>
      <w:r>
        <w:t>Yield</w:t>
      </w:r>
      <w:r>
        <w:rPr>
          <w:spacing w:val="-3"/>
        </w:rPr>
        <w:t xml:space="preserve"> </w:t>
      </w:r>
      <w:r>
        <w:t>Bond</w:t>
      </w:r>
      <w:r>
        <w:rPr>
          <w:spacing w:val="-3"/>
        </w:rPr>
        <w:t xml:space="preserve"> </w:t>
      </w:r>
      <w:r>
        <w:t>Fund</w:t>
      </w:r>
      <w:r>
        <w:rPr>
          <w:spacing w:val="-3"/>
        </w:rPr>
        <w:t xml:space="preserve"> </w:t>
      </w:r>
      <w:r>
        <w:t>Retirement</w:t>
      </w:r>
      <w:r>
        <w:rPr>
          <w:spacing w:val="-3"/>
        </w:rPr>
        <w:t xml:space="preserve"> </w:t>
      </w:r>
      <w:r>
        <w:t>Class</w:t>
      </w:r>
      <w:r>
        <w:rPr>
          <w:spacing w:val="-3"/>
        </w:rPr>
        <w:t xml:space="preserve"> </w:t>
      </w:r>
      <w:r>
        <w:t>was</w:t>
      </w:r>
      <w:r>
        <w:rPr>
          <w:spacing w:val="-3"/>
        </w:rPr>
        <w:t xml:space="preserve"> </w:t>
      </w:r>
      <w:r>
        <w:t>made</w:t>
      </w:r>
      <w:r>
        <w:rPr>
          <w:spacing w:val="-4"/>
        </w:rPr>
        <w:t xml:space="preserve"> </w:t>
      </w:r>
      <w:r>
        <w:t>available</w:t>
      </w:r>
      <w:r>
        <w:rPr>
          <w:spacing w:val="-4"/>
        </w:rPr>
        <w:t xml:space="preserve"> </w:t>
      </w:r>
      <w:r>
        <w:t xml:space="preserve">at a lower expense ratio and availability was discontinued for the Harbor High-Yield </w:t>
      </w:r>
      <w:proofErr w:type="gramStart"/>
      <w:r>
        <w:t>Bond Fund</w:t>
      </w:r>
      <w:proofErr w:type="gramEnd"/>
      <w:r>
        <w:t xml:space="preserve"> Institutional Class. The CARES Act coronavirus in-service withdrawal option was implemented within the</w:t>
      </w:r>
      <w:r>
        <w:rPr>
          <w:spacing w:val="-1"/>
        </w:rPr>
        <w:t xml:space="preserve"> </w:t>
      </w:r>
      <w:r>
        <w:t>403b base, 401a</w:t>
      </w:r>
      <w:r>
        <w:rPr>
          <w:spacing w:val="-1"/>
        </w:rPr>
        <w:t xml:space="preserve"> </w:t>
      </w:r>
      <w:r>
        <w:t>mandatory, 403b &amp;</w:t>
      </w:r>
      <w:r>
        <w:rPr>
          <w:spacing w:val="-2"/>
        </w:rPr>
        <w:t xml:space="preserve"> </w:t>
      </w:r>
      <w:r>
        <w:t>457 voluntary</w:t>
      </w:r>
      <w:r>
        <w:rPr>
          <w:spacing w:val="-5"/>
        </w:rPr>
        <w:t xml:space="preserve"> </w:t>
      </w:r>
      <w:r>
        <w:t>plans, while</w:t>
      </w:r>
      <w:r>
        <w:rPr>
          <w:spacing w:val="-1"/>
        </w:rPr>
        <w:t xml:space="preserve"> </w:t>
      </w:r>
      <w:r>
        <w:t>the</w:t>
      </w:r>
      <w:r>
        <w:rPr>
          <w:spacing w:val="-1"/>
        </w:rPr>
        <w:t xml:space="preserve"> </w:t>
      </w:r>
      <w:r>
        <w:t>CARES Act</w:t>
      </w:r>
      <w:r>
        <w:rPr>
          <w:spacing w:val="-1"/>
        </w:rPr>
        <w:t xml:space="preserve"> </w:t>
      </w:r>
      <w:r>
        <w:t>increased loan limit and deferment options were implemented within the 403b voluntary plan.</w:t>
      </w:r>
    </w:p>
    <w:p w14:paraId="095E18D4" w14:textId="77777777" w:rsidR="009C1711" w:rsidRDefault="009C1711">
      <w:pPr>
        <w:pStyle w:val="BodyText"/>
      </w:pPr>
    </w:p>
    <w:p w14:paraId="79EB2147" w14:textId="77777777" w:rsidR="009C1711" w:rsidRDefault="00000000">
      <w:pPr>
        <w:pStyle w:val="BodyText"/>
        <w:ind w:left="359" w:right="116"/>
      </w:pPr>
      <w:r>
        <w:t xml:space="preserve">Mr. Webb reviewed three active managers with the committee: Dodge &amp; Cox International, American Funds </w:t>
      </w:r>
      <w:proofErr w:type="spellStart"/>
      <w:r>
        <w:t>EuroPacific</w:t>
      </w:r>
      <w:proofErr w:type="spellEnd"/>
      <w:r>
        <w:t>, and Lazard EM. The reviews included a review of firm background, investment philosophy,</w:t>
      </w:r>
      <w:r>
        <w:rPr>
          <w:spacing w:val="-3"/>
        </w:rPr>
        <w:t xml:space="preserve"> </w:t>
      </w:r>
      <w:r>
        <w:t>investment</w:t>
      </w:r>
      <w:r>
        <w:rPr>
          <w:spacing w:val="-3"/>
        </w:rPr>
        <w:t xml:space="preserve"> </w:t>
      </w:r>
      <w:r>
        <w:t>process</w:t>
      </w:r>
      <w:r>
        <w:rPr>
          <w:spacing w:val="-3"/>
        </w:rPr>
        <w:t xml:space="preserve"> </w:t>
      </w:r>
      <w:r>
        <w:t>and</w:t>
      </w:r>
      <w:r>
        <w:rPr>
          <w:spacing w:val="-3"/>
        </w:rPr>
        <w:t xml:space="preserve"> </w:t>
      </w:r>
      <w:r>
        <w:t>performance.</w:t>
      </w:r>
      <w:r>
        <w:rPr>
          <w:spacing w:val="-1"/>
        </w:rPr>
        <w:t xml:space="preserve"> </w:t>
      </w:r>
      <w:r>
        <w:t>As</w:t>
      </w:r>
      <w:r>
        <w:rPr>
          <w:spacing w:val="-3"/>
        </w:rPr>
        <w:t xml:space="preserve"> </w:t>
      </w:r>
      <w:r>
        <w:t>a</w:t>
      </w:r>
      <w:r>
        <w:rPr>
          <w:spacing w:val="-4"/>
        </w:rPr>
        <w:t xml:space="preserve"> </w:t>
      </w:r>
      <w:r>
        <w:t>result</w:t>
      </w:r>
      <w:r>
        <w:rPr>
          <w:spacing w:val="-3"/>
        </w:rPr>
        <w:t xml:space="preserve"> </w:t>
      </w:r>
      <w:r>
        <w:t>of</w:t>
      </w:r>
      <w:r>
        <w:rPr>
          <w:spacing w:val="-4"/>
        </w:rPr>
        <w:t xml:space="preserve"> </w:t>
      </w:r>
      <w:r>
        <w:t>the</w:t>
      </w:r>
      <w:r>
        <w:rPr>
          <w:spacing w:val="-2"/>
        </w:rPr>
        <w:t xml:space="preserve"> </w:t>
      </w:r>
      <w:r>
        <w:t>review</w:t>
      </w:r>
      <w:r>
        <w:rPr>
          <w:spacing w:val="-2"/>
        </w:rPr>
        <w:t xml:space="preserve"> </w:t>
      </w:r>
      <w:r>
        <w:t>process,</w:t>
      </w:r>
      <w:r>
        <w:rPr>
          <w:spacing w:val="-3"/>
        </w:rPr>
        <w:t xml:space="preserve"> </w:t>
      </w:r>
      <w:r>
        <w:t>a</w:t>
      </w:r>
      <w:r>
        <w:rPr>
          <w:spacing w:val="-4"/>
        </w:rPr>
        <w:t xml:space="preserve"> </w:t>
      </w:r>
      <w:r>
        <w:t>motion</w:t>
      </w:r>
      <w:r>
        <w:rPr>
          <w:spacing w:val="-3"/>
        </w:rPr>
        <w:t xml:space="preserve"> </w:t>
      </w:r>
      <w:r>
        <w:t>was</w:t>
      </w:r>
      <w:r>
        <w:rPr>
          <w:spacing w:val="-3"/>
        </w:rPr>
        <w:t xml:space="preserve"> </w:t>
      </w:r>
      <w:r>
        <w:t>made and endorsed by the Committee to begin the process to look for an alternative emerging market manager. Primary considerations for seeking a new emerging market option included Lazard’s higher than market tracking error, historical performance, management fee and fund outflows.</w:t>
      </w:r>
    </w:p>
    <w:p w14:paraId="4C689DB3" w14:textId="77777777" w:rsidR="009C1711" w:rsidRDefault="009C1711">
      <w:pPr>
        <w:pStyle w:val="BodyText"/>
      </w:pPr>
    </w:p>
    <w:p w14:paraId="6476AE12" w14:textId="77777777" w:rsidR="009C1711" w:rsidRDefault="00000000">
      <w:pPr>
        <w:pStyle w:val="BodyText"/>
        <w:ind w:left="359" w:right="116"/>
      </w:pPr>
      <w:r>
        <w:t>Mr. Webb reviewed the retirement plan dashboard as of September 30, 2020, noting $2.2 billion was invested</w:t>
      </w:r>
      <w:r>
        <w:rPr>
          <w:spacing w:val="-3"/>
        </w:rPr>
        <w:t xml:space="preserve"> </w:t>
      </w:r>
      <w:r>
        <w:t>within</w:t>
      </w:r>
      <w:r>
        <w:rPr>
          <w:spacing w:val="-3"/>
        </w:rPr>
        <w:t xml:space="preserve"> </w:t>
      </w:r>
      <w:r>
        <w:t>the</w:t>
      </w:r>
      <w:r>
        <w:rPr>
          <w:spacing w:val="-4"/>
        </w:rPr>
        <w:t xml:space="preserve"> </w:t>
      </w:r>
      <w:r>
        <w:t>retirement</w:t>
      </w:r>
      <w:r>
        <w:rPr>
          <w:spacing w:val="-3"/>
        </w:rPr>
        <w:t xml:space="preserve"> </w:t>
      </w:r>
      <w:r>
        <w:t>platform’s</w:t>
      </w:r>
      <w:r>
        <w:rPr>
          <w:spacing w:val="-3"/>
        </w:rPr>
        <w:t xml:space="preserve"> </w:t>
      </w:r>
      <w:r>
        <w:t>four-tier</w:t>
      </w:r>
      <w:r>
        <w:rPr>
          <w:spacing w:val="-3"/>
        </w:rPr>
        <w:t xml:space="preserve"> </w:t>
      </w:r>
      <w:r>
        <w:t>structure.</w:t>
      </w:r>
      <w:r>
        <w:rPr>
          <w:spacing w:val="-3"/>
        </w:rPr>
        <w:t xml:space="preserve"> </w:t>
      </w:r>
      <w:r>
        <w:t>Approximately</w:t>
      </w:r>
      <w:r>
        <w:rPr>
          <w:spacing w:val="-6"/>
        </w:rPr>
        <w:t xml:space="preserve"> </w:t>
      </w:r>
      <w:r>
        <w:t>64%</w:t>
      </w:r>
      <w:r>
        <w:rPr>
          <w:spacing w:val="-4"/>
        </w:rPr>
        <w:t xml:space="preserve"> </w:t>
      </w:r>
      <w:r>
        <w:t>of</w:t>
      </w:r>
      <w:r>
        <w:rPr>
          <w:spacing w:val="-4"/>
        </w:rPr>
        <w:t xml:space="preserve"> </w:t>
      </w:r>
      <w:r>
        <w:t>participants</w:t>
      </w:r>
      <w:r>
        <w:rPr>
          <w:spacing w:val="-3"/>
        </w:rPr>
        <w:t xml:space="preserve"> </w:t>
      </w:r>
      <w:r>
        <w:t>invest in Tier 1 target date funds; 15% in Tier 2 passive index funds; 16% in Tier 3 actively</w:t>
      </w:r>
      <w:r>
        <w:rPr>
          <w:spacing w:val="-2"/>
        </w:rPr>
        <w:t xml:space="preserve"> </w:t>
      </w:r>
      <w:r>
        <w:t>managed funds, including the MetLife Stable Value Option’; and 5% in Tier 4 through the brokerage window. The dashboard provided included expense ratios, share class, calendar year-to-date, 1, 3 and 5-year performance for the Tier 1, 2 and 3 investment funds.</w:t>
      </w:r>
    </w:p>
    <w:p w14:paraId="3800E4C5" w14:textId="77777777" w:rsidR="009C1711" w:rsidRDefault="009C1711">
      <w:pPr>
        <w:pStyle w:val="BodyText"/>
      </w:pPr>
    </w:p>
    <w:p w14:paraId="1555398D" w14:textId="77777777" w:rsidR="009C1711" w:rsidRDefault="00000000">
      <w:pPr>
        <w:pStyle w:val="BodyText"/>
        <w:ind w:left="359"/>
      </w:pPr>
      <w:r>
        <w:t>The</w:t>
      </w:r>
      <w:r>
        <w:rPr>
          <w:spacing w:val="-4"/>
        </w:rPr>
        <w:t xml:space="preserve"> </w:t>
      </w:r>
      <w:r>
        <w:t>next</w:t>
      </w:r>
      <w:r>
        <w:rPr>
          <w:spacing w:val="-3"/>
        </w:rPr>
        <w:t xml:space="preserve"> </w:t>
      </w:r>
      <w:r>
        <w:t>meeting</w:t>
      </w:r>
      <w:r>
        <w:rPr>
          <w:spacing w:val="-6"/>
        </w:rPr>
        <w:t xml:space="preserve"> </w:t>
      </w:r>
      <w:r>
        <w:t>will</w:t>
      </w:r>
      <w:r>
        <w:rPr>
          <w:spacing w:val="-3"/>
        </w:rPr>
        <w:t xml:space="preserve"> </w:t>
      </w:r>
      <w:r>
        <w:t>be</w:t>
      </w:r>
      <w:r>
        <w:rPr>
          <w:spacing w:val="-2"/>
        </w:rPr>
        <w:t xml:space="preserve"> </w:t>
      </w:r>
      <w:r>
        <w:t>scheduled</w:t>
      </w:r>
      <w:r>
        <w:rPr>
          <w:spacing w:val="-3"/>
        </w:rPr>
        <w:t xml:space="preserve"> </w:t>
      </w:r>
      <w:r>
        <w:t>for</w:t>
      </w:r>
      <w:r>
        <w:rPr>
          <w:spacing w:val="-2"/>
        </w:rPr>
        <w:t xml:space="preserve"> </w:t>
      </w:r>
      <w:r>
        <w:t>April</w:t>
      </w:r>
      <w:r>
        <w:rPr>
          <w:spacing w:val="-3"/>
        </w:rPr>
        <w:t xml:space="preserve"> </w:t>
      </w:r>
      <w:r>
        <w:t>2021.</w:t>
      </w:r>
      <w:r>
        <w:rPr>
          <w:spacing w:val="-3"/>
        </w:rPr>
        <w:t xml:space="preserve"> </w:t>
      </w:r>
      <w:r>
        <w:t>Members</w:t>
      </w:r>
      <w:r>
        <w:rPr>
          <w:spacing w:val="-3"/>
        </w:rPr>
        <w:t xml:space="preserve"> </w:t>
      </w:r>
      <w:r>
        <w:t>with</w:t>
      </w:r>
      <w:r>
        <w:rPr>
          <w:spacing w:val="-3"/>
        </w:rPr>
        <w:t xml:space="preserve"> </w:t>
      </w:r>
      <w:r>
        <w:t>special</w:t>
      </w:r>
      <w:r>
        <w:rPr>
          <w:spacing w:val="-1"/>
        </w:rPr>
        <w:t xml:space="preserve"> </w:t>
      </w:r>
      <w:r>
        <w:t>topics</w:t>
      </w:r>
      <w:r>
        <w:rPr>
          <w:spacing w:val="-3"/>
        </w:rPr>
        <w:t xml:space="preserve"> </w:t>
      </w:r>
      <w:r>
        <w:t>for</w:t>
      </w:r>
      <w:r>
        <w:rPr>
          <w:spacing w:val="-4"/>
        </w:rPr>
        <w:t xml:space="preserve"> </w:t>
      </w:r>
      <w:r>
        <w:t>future</w:t>
      </w:r>
      <w:r>
        <w:rPr>
          <w:spacing w:val="-4"/>
        </w:rPr>
        <w:t xml:space="preserve"> </w:t>
      </w:r>
      <w:r>
        <w:t>meetings should forward the suggested items to Mr. Almond.</w:t>
      </w:r>
    </w:p>
    <w:sectPr w:rsidR="009C1711">
      <w:pgSz w:w="12240" w:h="15840"/>
      <w:pgMar w:top="920" w:right="1080" w:bottom="800" w:left="720" w:header="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430E" w14:textId="77777777" w:rsidR="00516ACF" w:rsidRDefault="00516ACF">
      <w:r>
        <w:separator/>
      </w:r>
    </w:p>
  </w:endnote>
  <w:endnote w:type="continuationSeparator" w:id="0">
    <w:p w14:paraId="203A6DE9" w14:textId="77777777" w:rsidR="00516ACF" w:rsidRDefault="0051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58D6" w14:textId="77777777" w:rsidR="009C1711" w:rsidRDefault="00000000">
    <w:pPr>
      <w:pStyle w:val="BodyText"/>
      <w:spacing w:line="14" w:lineRule="auto"/>
      <w:rPr>
        <w:sz w:val="20"/>
      </w:rPr>
    </w:pPr>
    <w:r>
      <w:rPr>
        <w:noProof/>
        <w:sz w:val="20"/>
      </w:rPr>
      <mc:AlternateContent>
        <mc:Choice Requires="wps">
          <w:drawing>
            <wp:anchor distT="0" distB="0" distL="0" distR="0" simplePos="0" relativeHeight="487553536" behindDoc="1" locked="0" layoutInCell="1" allowOverlap="1" wp14:anchorId="1E10F5A8" wp14:editId="0BAD00D2">
              <wp:simplePos x="0" y="0"/>
              <wp:positionH relativeFrom="page">
                <wp:posOffset>5585037</wp:posOffset>
              </wp:positionH>
              <wp:positionV relativeFrom="page">
                <wp:posOffset>9532169</wp:posOffset>
              </wp:positionV>
              <wp:extent cx="600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14:paraId="070537DF" w14:textId="77777777" w:rsidR="009C1711" w:rsidRDefault="00000000">
                          <w:pPr>
                            <w:spacing w:before="10"/>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1E10F5A8" id="_x0000_t202" coordsize="21600,21600" o:spt="202" path="m,l,21600r21600,l21600,xe">
              <v:stroke joinstyle="miter"/>
              <v:path gradientshapeok="t" o:connecttype="rect"/>
            </v:shapetype>
            <v:shape id="Textbox 1" o:spid="_x0000_s1026" type="#_x0000_t202" style="position:absolute;margin-left:439.75pt;margin-top:750.55pt;width:47.3pt;height:13.05pt;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" filled="f" stroked="f">
              <v:textbox inset="0,0,0,0">
                <w:txbxContent>
                  <w:p w14:paraId="070537DF" w14:textId="77777777" w:rsidR="009C1711" w:rsidRDefault="00000000">
                    <w:pPr>
                      <w:spacing w:before="10"/>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4DC8" w14:textId="77777777" w:rsidR="00516ACF" w:rsidRDefault="00516ACF">
      <w:r>
        <w:separator/>
      </w:r>
    </w:p>
  </w:footnote>
  <w:footnote w:type="continuationSeparator" w:id="0">
    <w:p w14:paraId="324E61FA" w14:textId="77777777" w:rsidR="00516ACF" w:rsidRDefault="00516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C1711"/>
    <w:rsid w:val="00516ACF"/>
    <w:rsid w:val="005F27BC"/>
    <w:rsid w:val="009C1711"/>
    <w:rsid w:val="00F1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139C"/>
  <w15:docId w15:val="{4DA62377-78A5-4AF2-8200-B47666A6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79" w:right="2717"/>
      <w:jc w:val="center"/>
      <w:outlineLvl w:val="0"/>
    </w:pPr>
    <w:rPr>
      <w:rFonts w:ascii="Calibri" w:eastAsia="Calibri" w:hAnsi="Calibri" w:cs="Calibri"/>
      <w:b/>
      <w:bCs/>
      <w:sz w:val="24"/>
      <w:szCs w:val="24"/>
    </w:rPr>
  </w:style>
  <w:style w:type="paragraph" w:styleId="Heading2">
    <w:name w:val="heading 2"/>
    <w:basedOn w:val="Normal"/>
    <w:uiPriority w:val="9"/>
    <w:unhideWhenUsed/>
    <w:qFormat/>
    <w:pPr>
      <w:ind w:left="3079" w:right="2722"/>
      <w:jc w:val="center"/>
      <w:outlineLvl w:val="1"/>
    </w:pPr>
    <w:rPr>
      <w:rFonts w:ascii="Calibri" w:eastAsia="Calibri" w:hAnsi="Calibri" w:cs="Calibr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3791</Characters>
  <Application>Microsoft Office Word</Application>
  <DocSecurity>0</DocSecurity>
  <Lines>71</Lines>
  <Paragraphs>19</Paragraphs>
  <ScaleCrop>false</ScaleCrop>
  <Company>Purdue University</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Committee Meeting Minutes</dc:title>
  <dc:creator>promano</dc:creator>
  <cp:lastModifiedBy>Elizabeth E Gray</cp:lastModifiedBy>
  <cp:revision>2</cp:revision>
  <dcterms:created xsi:type="dcterms:W3CDTF">2026-04-11T15:37:00Z</dcterms:created>
  <dcterms:modified xsi:type="dcterms:W3CDTF">2026-04-11T15:38:00Z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Acrobat PDFMaker 21 for Word</vt:lpwstr>
  </property>
  <property fmtid="{D5CDD505-2E9C-101B-9397-08002B2CF9AE}" pid="4" name="LastSaved">
    <vt:filetime>2026-04-11T00:00:00Z</vt:filetime>
  </property>
  <property fmtid="{D5CDD505-2E9C-101B-9397-08002B2CF9AE}" pid="5" name="Producer">
    <vt:lpwstr>Adobe PDF Library 21.1.177</vt:lpwstr>
  </property>
  <property fmtid="{D5CDD505-2E9C-101B-9397-08002B2CF9AE}" pid="6" name="SourceModified">
    <vt:lpwstr>D:20210415152324</vt:lpwstr>
  </property>
  <property fmtid="{D5CDD505-2E9C-101B-9397-08002B2CF9AE}" pid="7" name="_NewReviewCycle">
    <vt:lpwstr/>
  </property>
</Properties>
</file>