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62DF" w14:textId="77777777" w:rsidR="00EC16A7" w:rsidRDefault="00000000">
      <w:pPr>
        <w:ind w:left="3419"/>
        <w:rPr>
          <w:sz w:val="20"/>
        </w:rPr>
      </w:pPr>
      <w:r>
        <w:rPr>
          <w:noProof/>
          <w:sz w:val="20"/>
        </w:rPr>
        <w:drawing>
          <wp:inline distT="0" distB="0" distL="0" distR="0" wp14:anchorId="166DF43C" wp14:editId="6B4AC6BC">
            <wp:extent cx="2510894" cy="442341"/>
            <wp:effectExtent l="0" t="0" r="0"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6" cstate="print"/>
                    <a:stretch>
                      <a:fillRect/>
                    </a:stretch>
                  </pic:blipFill>
                  <pic:spPr>
                    <a:xfrm>
                      <a:off x="0" y="0"/>
                      <a:ext cx="2510894" cy="442341"/>
                    </a:xfrm>
                    <a:prstGeom prst="rect">
                      <a:avLst/>
                    </a:prstGeom>
                  </pic:spPr>
                </pic:pic>
              </a:graphicData>
            </a:graphic>
          </wp:inline>
        </w:drawing>
      </w:r>
    </w:p>
    <w:p w14:paraId="6E68C1ED" w14:textId="77777777" w:rsidR="00EC16A7" w:rsidRDefault="00EC16A7">
      <w:pPr>
        <w:pStyle w:val="BodyText"/>
        <w:spacing w:before="30"/>
      </w:pPr>
    </w:p>
    <w:p w14:paraId="43E494C9" w14:textId="77777777" w:rsidR="00EC16A7" w:rsidRDefault="00000000">
      <w:pPr>
        <w:pStyle w:val="Heading1"/>
      </w:pPr>
      <w:r>
        <w:t>Retirement</w:t>
      </w:r>
      <w:r>
        <w:rPr>
          <w:spacing w:val="-12"/>
        </w:rPr>
        <w:t xml:space="preserve"> </w:t>
      </w:r>
      <w:r>
        <w:t>Plan</w:t>
      </w:r>
      <w:r>
        <w:rPr>
          <w:spacing w:val="-11"/>
        </w:rPr>
        <w:t xml:space="preserve"> </w:t>
      </w:r>
      <w:r>
        <w:t>Committee</w:t>
      </w:r>
      <w:r>
        <w:rPr>
          <w:spacing w:val="-13"/>
        </w:rPr>
        <w:t xml:space="preserve"> </w:t>
      </w:r>
      <w:r>
        <w:t>Minutes April 20, 2021</w:t>
      </w:r>
    </w:p>
    <w:p w14:paraId="332CCE3E" w14:textId="77777777" w:rsidR="00EC16A7" w:rsidRDefault="00000000">
      <w:pPr>
        <w:spacing w:line="293" w:lineRule="exact"/>
        <w:ind w:left="3366" w:right="3007"/>
        <w:jc w:val="center"/>
        <w:rPr>
          <w:rFonts w:ascii="Calibri"/>
          <w:b/>
          <w:sz w:val="24"/>
        </w:rPr>
      </w:pPr>
      <w:r>
        <w:rPr>
          <w:rFonts w:ascii="Calibri"/>
          <w:b/>
          <w:sz w:val="24"/>
        </w:rPr>
        <w:t>1-3</w:t>
      </w:r>
      <w:r>
        <w:rPr>
          <w:rFonts w:ascii="Calibri"/>
          <w:b/>
          <w:spacing w:val="-1"/>
          <w:sz w:val="24"/>
        </w:rPr>
        <w:t xml:space="preserve"> </w:t>
      </w:r>
      <w:r>
        <w:rPr>
          <w:rFonts w:ascii="Calibri"/>
          <w:b/>
          <w:spacing w:val="-4"/>
          <w:sz w:val="24"/>
        </w:rPr>
        <w:t>p.m.</w:t>
      </w:r>
    </w:p>
    <w:p w14:paraId="58F0F797" w14:textId="77777777" w:rsidR="00EC16A7" w:rsidRDefault="00000000">
      <w:pPr>
        <w:pStyle w:val="Heading2"/>
      </w:pPr>
      <w:r>
        <w:t>via MS</w:t>
      </w:r>
      <w:r>
        <w:rPr>
          <w:spacing w:val="-1"/>
        </w:rPr>
        <w:t xml:space="preserve"> </w:t>
      </w:r>
      <w:r>
        <w:rPr>
          <w:spacing w:val="-2"/>
        </w:rPr>
        <w:t>Teams</w:t>
      </w:r>
    </w:p>
    <w:p w14:paraId="2F57383E" w14:textId="77777777" w:rsidR="00EC16A7" w:rsidRDefault="00EC16A7">
      <w:pPr>
        <w:pStyle w:val="BodyText"/>
        <w:rPr>
          <w:rFonts w:ascii="Calibri"/>
          <w:b/>
          <w:i/>
        </w:rPr>
      </w:pPr>
    </w:p>
    <w:p w14:paraId="40157AF0" w14:textId="77777777" w:rsidR="00EC16A7" w:rsidRDefault="00EC16A7">
      <w:pPr>
        <w:pStyle w:val="BodyText"/>
        <w:spacing w:before="212"/>
        <w:rPr>
          <w:rFonts w:ascii="Calibri"/>
          <w:b/>
          <w:i/>
        </w:rPr>
      </w:pPr>
    </w:p>
    <w:p w14:paraId="131A2FEB" w14:textId="77777777" w:rsidR="00EC16A7" w:rsidRDefault="00000000">
      <w:pPr>
        <w:ind w:left="360" w:right="333"/>
      </w:pPr>
      <w:r>
        <w:rPr>
          <w:u w:val="single"/>
        </w:rPr>
        <w:t>Present:</w:t>
      </w:r>
      <w:r>
        <w:rPr>
          <w:spacing w:val="40"/>
        </w:rPr>
        <w:t xml:space="preserve"> </w:t>
      </w:r>
      <w:r>
        <w:t>Jim</w:t>
      </w:r>
      <w:r>
        <w:rPr>
          <w:spacing w:val="-6"/>
        </w:rPr>
        <w:t xml:space="preserve"> </w:t>
      </w:r>
      <w:r>
        <w:t>Almond,</w:t>
      </w:r>
      <w:r>
        <w:rPr>
          <w:spacing w:val="-2"/>
        </w:rPr>
        <w:t xml:space="preserve"> </w:t>
      </w:r>
      <w:r>
        <w:t>Becky</w:t>
      </w:r>
      <w:r>
        <w:rPr>
          <w:spacing w:val="-5"/>
        </w:rPr>
        <w:t xml:space="preserve"> </w:t>
      </w:r>
      <w:r>
        <w:t>Beeler,</w:t>
      </w:r>
      <w:r>
        <w:rPr>
          <w:spacing w:val="-2"/>
        </w:rPr>
        <w:t xml:space="preserve"> </w:t>
      </w:r>
      <w:r>
        <w:t>Bill</w:t>
      </w:r>
      <w:r>
        <w:rPr>
          <w:spacing w:val="-1"/>
        </w:rPr>
        <w:t xml:space="preserve"> </w:t>
      </w:r>
      <w:r>
        <w:t>Bell,</w:t>
      </w:r>
      <w:r>
        <w:rPr>
          <w:spacing w:val="-5"/>
        </w:rPr>
        <w:t xml:space="preserve"> </w:t>
      </w:r>
      <w:r>
        <w:t>Janine</w:t>
      </w:r>
      <w:r>
        <w:rPr>
          <w:spacing w:val="-4"/>
        </w:rPr>
        <w:t xml:space="preserve"> </w:t>
      </w:r>
      <w:r>
        <w:t>Gulbranson,</w:t>
      </w:r>
      <w:r>
        <w:rPr>
          <w:spacing w:val="-2"/>
        </w:rPr>
        <w:t xml:space="preserve"> </w:t>
      </w:r>
      <w:r>
        <w:t>David</w:t>
      </w:r>
      <w:r>
        <w:rPr>
          <w:spacing w:val="-5"/>
        </w:rPr>
        <w:t xml:space="preserve"> </w:t>
      </w:r>
      <w:r>
        <w:t>Janes,</w:t>
      </w:r>
      <w:r>
        <w:rPr>
          <w:spacing w:val="-5"/>
        </w:rPr>
        <w:t xml:space="preserve"> </w:t>
      </w:r>
      <w:r>
        <w:t>Ryan</w:t>
      </w:r>
      <w:r>
        <w:rPr>
          <w:spacing w:val="-2"/>
        </w:rPr>
        <w:t xml:space="preserve"> </w:t>
      </w:r>
      <w:r>
        <w:t>Kay,</w:t>
      </w:r>
      <w:r>
        <w:rPr>
          <w:spacing w:val="-2"/>
        </w:rPr>
        <w:t xml:space="preserve"> </w:t>
      </w:r>
      <w:r>
        <w:t>Dean</w:t>
      </w:r>
      <w:r>
        <w:rPr>
          <w:spacing w:val="-2"/>
        </w:rPr>
        <w:t xml:space="preserve"> </w:t>
      </w:r>
      <w:r>
        <w:t>Lingley, Scott Seidle, Steve Turner, Blair Webb</w:t>
      </w:r>
    </w:p>
    <w:p w14:paraId="6EACFEF8" w14:textId="77777777" w:rsidR="00EC16A7" w:rsidRDefault="00EC16A7">
      <w:pPr>
        <w:pStyle w:val="BodyText"/>
        <w:rPr>
          <w:sz w:val="22"/>
        </w:rPr>
      </w:pPr>
    </w:p>
    <w:p w14:paraId="7DBE5D90" w14:textId="77777777" w:rsidR="00EC16A7" w:rsidRDefault="00000000">
      <w:pPr>
        <w:ind w:left="360"/>
      </w:pPr>
      <w:r>
        <w:rPr>
          <w:u w:val="single"/>
        </w:rPr>
        <w:t>Unable</w:t>
      </w:r>
      <w:r>
        <w:rPr>
          <w:spacing w:val="-5"/>
          <w:u w:val="single"/>
        </w:rPr>
        <w:t xml:space="preserve"> </w:t>
      </w:r>
      <w:r>
        <w:rPr>
          <w:u w:val="single"/>
        </w:rPr>
        <w:t>to</w:t>
      </w:r>
      <w:r>
        <w:rPr>
          <w:spacing w:val="-3"/>
          <w:u w:val="single"/>
        </w:rPr>
        <w:t xml:space="preserve"> </w:t>
      </w:r>
      <w:r>
        <w:rPr>
          <w:u w:val="single"/>
        </w:rPr>
        <w:t>attend</w:t>
      </w:r>
      <w:r>
        <w:t>:</w:t>
      </w:r>
      <w:r>
        <w:rPr>
          <w:spacing w:val="50"/>
        </w:rPr>
        <w:t xml:space="preserve"> </w:t>
      </w:r>
      <w:r>
        <w:t>Fred</w:t>
      </w:r>
      <w:r>
        <w:rPr>
          <w:spacing w:val="-3"/>
        </w:rPr>
        <w:t xml:space="preserve"> </w:t>
      </w:r>
      <w:r>
        <w:t>Ford,</w:t>
      </w:r>
      <w:r>
        <w:rPr>
          <w:spacing w:val="-3"/>
        </w:rPr>
        <w:t xml:space="preserve"> </w:t>
      </w:r>
      <w:r>
        <w:t>Candace</w:t>
      </w:r>
      <w:r>
        <w:rPr>
          <w:spacing w:val="-2"/>
        </w:rPr>
        <w:t xml:space="preserve"> Shaffer</w:t>
      </w:r>
    </w:p>
    <w:p w14:paraId="0B1845B1" w14:textId="77777777" w:rsidR="00EC16A7" w:rsidRDefault="00EC16A7">
      <w:pPr>
        <w:pStyle w:val="BodyText"/>
        <w:rPr>
          <w:sz w:val="22"/>
        </w:rPr>
      </w:pPr>
    </w:p>
    <w:p w14:paraId="3D364BD3" w14:textId="77777777" w:rsidR="00EC16A7" w:rsidRDefault="00000000">
      <w:pPr>
        <w:ind w:left="360"/>
        <w:jc w:val="both"/>
      </w:pPr>
      <w:r>
        <w:rPr>
          <w:u w:val="single"/>
        </w:rPr>
        <w:t>Guests:</w:t>
      </w:r>
      <w:r>
        <w:rPr>
          <w:spacing w:val="49"/>
        </w:rPr>
        <w:t xml:space="preserve"> </w:t>
      </w:r>
      <w:r>
        <w:t>PRF:</w:t>
      </w:r>
      <w:r>
        <w:rPr>
          <w:spacing w:val="-3"/>
        </w:rPr>
        <w:t xml:space="preserve"> </w:t>
      </w:r>
      <w:proofErr w:type="spellStart"/>
      <w:r>
        <w:t>DeAndra</w:t>
      </w:r>
      <w:proofErr w:type="spellEnd"/>
      <w:r>
        <w:rPr>
          <w:spacing w:val="-3"/>
        </w:rPr>
        <w:t xml:space="preserve"> </w:t>
      </w:r>
      <w:r>
        <w:rPr>
          <w:spacing w:val="-2"/>
        </w:rPr>
        <w:t>Ballard</w:t>
      </w:r>
    </w:p>
    <w:p w14:paraId="6707C427" w14:textId="77777777" w:rsidR="00EC16A7" w:rsidRDefault="00000000">
      <w:pPr>
        <w:spacing w:before="2"/>
        <w:ind w:left="1980" w:right="3622" w:hanging="845"/>
        <w:jc w:val="both"/>
      </w:pPr>
      <w:r>
        <w:t>Fidelity:</w:t>
      </w:r>
      <w:r>
        <w:rPr>
          <w:spacing w:val="37"/>
        </w:rPr>
        <w:t xml:space="preserve"> </w:t>
      </w:r>
      <w:r>
        <w:t>Anthony</w:t>
      </w:r>
      <w:r>
        <w:rPr>
          <w:spacing w:val="-7"/>
        </w:rPr>
        <w:t xml:space="preserve"> </w:t>
      </w:r>
      <w:r>
        <w:t>Frongillo,</w:t>
      </w:r>
      <w:r>
        <w:rPr>
          <w:spacing w:val="-7"/>
        </w:rPr>
        <w:t xml:space="preserve"> </w:t>
      </w:r>
      <w:r>
        <w:t>Vice</w:t>
      </w:r>
      <w:r>
        <w:rPr>
          <w:spacing w:val="-4"/>
        </w:rPr>
        <w:t xml:space="preserve"> </w:t>
      </w:r>
      <w:r>
        <w:t>President,</w:t>
      </w:r>
      <w:r>
        <w:rPr>
          <w:spacing w:val="-7"/>
        </w:rPr>
        <w:t xml:space="preserve"> </w:t>
      </w:r>
      <w:r>
        <w:t>Managing</w:t>
      </w:r>
      <w:r>
        <w:rPr>
          <w:spacing w:val="-7"/>
        </w:rPr>
        <w:t xml:space="preserve"> </w:t>
      </w:r>
      <w:r>
        <w:t>Director Elizabeth Heffernan,</w:t>
      </w:r>
      <w:r>
        <w:rPr>
          <w:spacing w:val="-3"/>
        </w:rPr>
        <w:t xml:space="preserve"> </w:t>
      </w:r>
      <w:r>
        <w:t>Investment Strategies Consultant Eddie Postel, Sr. Vice President, Client Consulting</w:t>
      </w:r>
    </w:p>
    <w:p w14:paraId="2FFCF897" w14:textId="77777777" w:rsidR="00EC16A7" w:rsidRDefault="00EC16A7">
      <w:pPr>
        <w:pStyle w:val="BodyText"/>
        <w:rPr>
          <w:sz w:val="22"/>
        </w:rPr>
      </w:pPr>
    </w:p>
    <w:p w14:paraId="16D98C54" w14:textId="77777777" w:rsidR="00EC16A7" w:rsidRDefault="00EC16A7">
      <w:pPr>
        <w:pStyle w:val="BodyText"/>
        <w:spacing w:before="46"/>
        <w:rPr>
          <w:sz w:val="22"/>
        </w:rPr>
      </w:pPr>
    </w:p>
    <w:p w14:paraId="32E93354" w14:textId="77777777" w:rsidR="00EC16A7" w:rsidRDefault="00000000">
      <w:pPr>
        <w:pStyle w:val="BodyText"/>
        <w:ind w:left="359" w:right="1210"/>
        <w:jc w:val="both"/>
      </w:pPr>
      <w:r>
        <w:t>This</w:t>
      </w:r>
      <w:r>
        <w:rPr>
          <w:spacing w:val="-3"/>
        </w:rPr>
        <w:t xml:space="preserve"> </w:t>
      </w:r>
      <w:r>
        <w:t>was</w:t>
      </w:r>
      <w:r>
        <w:rPr>
          <w:spacing w:val="-3"/>
        </w:rPr>
        <w:t xml:space="preserve"> </w:t>
      </w:r>
      <w:r>
        <w:t>the</w:t>
      </w:r>
      <w:r>
        <w:rPr>
          <w:spacing w:val="-3"/>
        </w:rPr>
        <w:t xml:space="preserve"> </w:t>
      </w:r>
      <w:r>
        <w:t>regularly</w:t>
      </w:r>
      <w:r>
        <w:rPr>
          <w:spacing w:val="-7"/>
        </w:rPr>
        <w:t xml:space="preserve"> </w:t>
      </w:r>
      <w:r>
        <w:t>scheduled</w:t>
      </w:r>
      <w:r>
        <w:rPr>
          <w:spacing w:val="-3"/>
        </w:rPr>
        <w:t xml:space="preserve"> </w:t>
      </w:r>
      <w:r>
        <w:t>meeting</w:t>
      </w:r>
      <w:r>
        <w:rPr>
          <w:spacing w:val="-5"/>
        </w:rPr>
        <w:t xml:space="preserve"> </w:t>
      </w:r>
      <w:r>
        <w:t>of</w:t>
      </w:r>
      <w:r>
        <w:rPr>
          <w:spacing w:val="-3"/>
        </w:rPr>
        <w:t xml:space="preserve"> </w:t>
      </w:r>
      <w:r>
        <w:t>the</w:t>
      </w:r>
      <w:r>
        <w:rPr>
          <w:spacing w:val="-3"/>
        </w:rPr>
        <w:t xml:space="preserve"> </w:t>
      </w:r>
      <w:r>
        <w:t>Retirement</w:t>
      </w:r>
      <w:r>
        <w:rPr>
          <w:spacing w:val="-3"/>
        </w:rPr>
        <w:t xml:space="preserve"> </w:t>
      </w:r>
      <w:r>
        <w:t>Plan</w:t>
      </w:r>
      <w:r>
        <w:rPr>
          <w:spacing w:val="-3"/>
        </w:rPr>
        <w:t xml:space="preserve"> </w:t>
      </w:r>
      <w:r>
        <w:t>Committee</w:t>
      </w:r>
      <w:r>
        <w:rPr>
          <w:spacing w:val="-3"/>
        </w:rPr>
        <w:t xml:space="preserve"> </w:t>
      </w:r>
      <w:r>
        <w:t>for</w:t>
      </w:r>
      <w:r>
        <w:rPr>
          <w:spacing w:val="-3"/>
        </w:rPr>
        <w:t xml:space="preserve"> </w:t>
      </w:r>
      <w:r>
        <w:t>the</w:t>
      </w:r>
      <w:r>
        <w:rPr>
          <w:spacing w:val="-3"/>
        </w:rPr>
        <w:t xml:space="preserve"> </w:t>
      </w:r>
      <w:r>
        <w:t>Defined Contribution Plans of Purdue University.</w:t>
      </w:r>
    </w:p>
    <w:p w14:paraId="3762FBED" w14:textId="77777777" w:rsidR="00EC16A7" w:rsidRDefault="00EC16A7">
      <w:pPr>
        <w:pStyle w:val="BodyText"/>
      </w:pPr>
    </w:p>
    <w:p w14:paraId="6B6787D7" w14:textId="77777777" w:rsidR="00EC16A7" w:rsidRDefault="00000000">
      <w:pPr>
        <w:pStyle w:val="BodyText"/>
        <w:ind w:left="360" w:right="333"/>
      </w:pPr>
      <w:r>
        <w:t>Mr.</w:t>
      </w:r>
      <w:r>
        <w:rPr>
          <w:spacing w:val="-4"/>
        </w:rPr>
        <w:t xml:space="preserve"> </w:t>
      </w:r>
      <w:r>
        <w:t>Almond</w:t>
      </w:r>
      <w:r>
        <w:rPr>
          <w:spacing w:val="-4"/>
        </w:rPr>
        <w:t xml:space="preserve"> </w:t>
      </w:r>
      <w:r>
        <w:t>welcomed</w:t>
      </w:r>
      <w:r>
        <w:rPr>
          <w:spacing w:val="-4"/>
        </w:rPr>
        <w:t xml:space="preserve"> </w:t>
      </w:r>
      <w:r>
        <w:t>committee</w:t>
      </w:r>
      <w:r>
        <w:rPr>
          <w:spacing w:val="-5"/>
        </w:rPr>
        <w:t xml:space="preserve"> </w:t>
      </w:r>
      <w:r>
        <w:t>members,</w:t>
      </w:r>
      <w:r>
        <w:rPr>
          <w:spacing w:val="-4"/>
        </w:rPr>
        <w:t xml:space="preserve"> </w:t>
      </w:r>
      <w:r>
        <w:t>reviewed</w:t>
      </w:r>
      <w:r>
        <w:rPr>
          <w:spacing w:val="-4"/>
        </w:rPr>
        <w:t xml:space="preserve"> </w:t>
      </w:r>
      <w:r>
        <w:t>the</w:t>
      </w:r>
      <w:r>
        <w:rPr>
          <w:spacing w:val="-5"/>
        </w:rPr>
        <w:t xml:space="preserve"> </w:t>
      </w:r>
      <w:r>
        <w:t>agenda</w:t>
      </w:r>
      <w:r>
        <w:rPr>
          <w:spacing w:val="-6"/>
        </w:rPr>
        <w:t xml:space="preserve"> </w:t>
      </w:r>
      <w:r>
        <w:t>and</w:t>
      </w:r>
      <w:r>
        <w:rPr>
          <w:spacing w:val="-4"/>
        </w:rPr>
        <w:t xml:space="preserve"> </w:t>
      </w:r>
      <w:r>
        <w:t>introduced</w:t>
      </w:r>
      <w:r>
        <w:rPr>
          <w:spacing w:val="-4"/>
        </w:rPr>
        <w:t xml:space="preserve"> </w:t>
      </w:r>
      <w:r>
        <w:t>the</w:t>
      </w:r>
      <w:r>
        <w:rPr>
          <w:spacing w:val="-3"/>
        </w:rPr>
        <w:t xml:space="preserve"> </w:t>
      </w:r>
      <w:r>
        <w:t xml:space="preserve">Fidelity </w:t>
      </w:r>
      <w:r>
        <w:rPr>
          <w:spacing w:val="-2"/>
        </w:rPr>
        <w:t>participants.</w:t>
      </w:r>
    </w:p>
    <w:p w14:paraId="7DD32DA6" w14:textId="77777777" w:rsidR="00EC16A7" w:rsidRDefault="00EC16A7">
      <w:pPr>
        <w:pStyle w:val="BodyText"/>
      </w:pPr>
    </w:p>
    <w:p w14:paraId="298B44E6" w14:textId="77777777" w:rsidR="00EC16A7" w:rsidRDefault="00000000">
      <w:pPr>
        <w:pStyle w:val="BodyText"/>
        <w:ind w:left="359"/>
      </w:pPr>
      <w:r>
        <w:t>Fidelity</w:t>
      </w:r>
      <w:r>
        <w:rPr>
          <w:spacing w:val="-7"/>
        </w:rPr>
        <w:t xml:space="preserve"> </w:t>
      </w:r>
      <w:r>
        <w:t>representatives</w:t>
      </w:r>
      <w:r>
        <w:rPr>
          <w:spacing w:val="-2"/>
        </w:rPr>
        <w:t xml:space="preserve"> </w:t>
      </w:r>
      <w:r>
        <w:t>(see</w:t>
      </w:r>
      <w:r>
        <w:rPr>
          <w:spacing w:val="-3"/>
        </w:rPr>
        <w:t xml:space="preserve"> </w:t>
      </w:r>
      <w:r>
        <w:t>‘guests’</w:t>
      </w:r>
      <w:r>
        <w:rPr>
          <w:spacing w:val="-2"/>
        </w:rPr>
        <w:t xml:space="preserve"> </w:t>
      </w:r>
      <w:r>
        <w:t>above</w:t>
      </w:r>
      <w:r>
        <w:rPr>
          <w:spacing w:val="-3"/>
        </w:rPr>
        <w:t xml:space="preserve"> </w:t>
      </w:r>
      <w:r>
        <w:t>for</w:t>
      </w:r>
      <w:r>
        <w:rPr>
          <w:spacing w:val="-3"/>
        </w:rPr>
        <w:t xml:space="preserve"> </w:t>
      </w:r>
      <w:r>
        <w:t>names)</w:t>
      </w:r>
      <w:r>
        <w:rPr>
          <w:spacing w:val="-3"/>
        </w:rPr>
        <w:t xml:space="preserve"> </w:t>
      </w:r>
      <w:r>
        <w:t>shared</w:t>
      </w:r>
      <w:r>
        <w:rPr>
          <w:spacing w:val="-1"/>
        </w:rPr>
        <w:t xml:space="preserve"> </w:t>
      </w:r>
      <w:r>
        <w:t>a</w:t>
      </w:r>
      <w:r>
        <w:rPr>
          <w:spacing w:val="-3"/>
        </w:rPr>
        <w:t xml:space="preserve"> </w:t>
      </w:r>
      <w:r>
        <w:t>presentation</w:t>
      </w:r>
      <w:r>
        <w:rPr>
          <w:spacing w:val="-2"/>
        </w:rPr>
        <w:t xml:space="preserve"> </w:t>
      </w:r>
      <w:r>
        <w:t>focusing</w:t>
      </w:r>
      <w:r>
        <w:rPr>
          <w:spacing w:val="-5"/>
        </w:rPr>
        <w:t xml:space="preserve"> </w:t>
      </w:r>
      <w:r>
        <w:t>on</w:t>
      </w:r>
      <w:r>
        <w:rPr>
          <w:spacing w:val="-2"/>
        </w:rPr>
        <w:t xml:space="preserve"> </w:t>
      </w:r>
      <w:r>
        <w:t>new</w:t>
      </w:r>
      <w:r>
        <w:rPr>
          <w:spacing w:val="-3"/>
        </w:rPr>
        <w:t xml:space="preserve"> </w:t>
      </w:r>
      <w:r>
        <w:t>retirement income planning services being implemented in 2021 to assist employees transitioning to retirement.</w:t>
      </w:r>
    </w:p>
    <w:p w14:paraId="5EDEEE50" w14:textId="77777777" w:rsidR="00EC16A7" w:rsidRDefault="00000000">
      <w:pPr>
        <w:pStyle w:val="BodyText"/>
        <w:ind w:left="359"/>
      </w:pPr>
      <w:r>
        <w:t xml:space="preserve">Currently, participants may receive a specific dollar amount for each payment or receive an entire account balance in variable payments over a fixed period. The new distribution options will enable income </w:t>
      </w:r>
      <w:proofErr w:type="gramStart"/>
      <w:r>
        <w:t>distribution based</w:t>
      </w:r>
      <w:proofErr w:type="gramEnd"/>
      <w:r>
        <w:t xml:space="preserve"> account balance, age, IRS life and expectancy tables for participants comfortable</w:t>
      </w:r>
      <w:r>
        <w:rPr>
          <w:spacing w:val="-4"/>
        </w:rPr>
        <w:t xml:space="preserve"> </w:t>
      </w:r>
      <w:r>
        <w:t>with</w:t>
      </w:r>
      <w:r>
        <w:rPr>
          <w:spacing w:val="-3"/>
        </w:rPr>
        <w:t xml:space="preserve"> </w:t>
      </w:r>
      <w:r>
        <w:t>variable</w:t>
      </w:r>
      <w:r>
        <w:rPr>
          <w:spacing w:val="-4"/>
        </w:rPr>
        <w:t xml:space="preserve"> </w:t>
      </w:r>
      <w:r>
        <w:t>payments</w:t>
      </w:r>
      <w:r>
        <w:rPr>
          <w:spacing w:val="-3"/>
        </w:rPr>
        <w:t xml:space="preserve"> </w:t>
      </w:r>
      <w:r>
        <w:t>over</w:t>
      </w:r>
      <w:r>
        <w:rPr>
          <w:spacing w:val="-4"/>
        </w:rPr>
        <w:t xml:space="preserve"> </w:t>
      </w:r>
      <w:r>
        <w:t>time</w:t>
      </w:r>
      <w:r>
        <w:rPr>
          <w:spacing w:val="-4"/>
        </w:rPr>
        <w:t xml:space="preserve"> </w:t>
      </w:r>
      <w:r>
        <w:t>or,</w:t>
      </w:r>
      <w:r>
        <w:rPr>
          <w:spacing w:val="-1"/>
        </w:rPr>
        <w:t xml:space="preserve"> </w:t>
      </w:r>
      <w:r>
        <w:t>alternatively,</w:t>
      </w:r>
      <w:r>
        <w:rPr>
          <w:spacing w:val="-3"/>
        </w:rPr>
        <w:t xml:space="preserve"> </w:t>
      </w:r>
      <w:r>
        <w:t>variable</w:t>
      </w:r>
      <w:r>
        <w:rPr>
          <w:spacing w:val="-4"/>
        </w:rPr>
        <w:t xml:space="preserve"> </w:t>
      </w:r>
      <w:r>
        <w:t>income</w:t>
      </w:r>
      <w:r>
        <w:rPr>
          <w:spacing w:val="-4"/>
        </w:rPr>
        <w:t xml:space="preserve"> </w:t>
      </w:r>
      <w:r>
        <w:t>distributions</w:t>
      </w:r>
      <w:r>
        <w:rPr>
          <w:spacing w:val="-3"/>
        </w:rPr>
        <w:t xml:space="preserve"> </w:t>
      </w:r>
      <w:r>
        <w:t>based</w:t>
      </w:r>
      <w:r>
        <w:rPr>
          <w:spacing w:val="-3"/>
        </w:rPr>
        <w:t xml:space="preserve"> </w:t>
      </w:r>
      <w:r>
        <w:t>on</w:t>
      </w:r>
      <w:r>
        <w:rPr>
          <w:spacing w:val="-3"/>
        </w:rPr>
        <w:t xml:space="preserve"> </w:t>
      </w:r>
      <w:r>
        <w:t>a fixed percentage (payout rate) of account balances over an agreed time schedule. The investment products and Net Benefits planning tools supporting the new options were reviewed and discussed.</w:t>
      </w:r>
    </w:p>
    <w:p w14:paraId="29696D33" w14:textId="77777777" w:rsidR="00EC16A7" w:rsidRDefault="00000000">
      <w:pPr>
        <w:pStyle w:val="BodyText"/>
        <w:spacing w:line="480" w:lineRule="auto"/>
        <w:ind w:left="359" w:right="2335"/>
      </w:pPr>
      <w:r>
        <w:t>Committee</w:t>
      </w:r>
      <w:r>
        <w:rPr>
          <w:spacing w:val="-4"/>
        </w:rPr>
        <w:t xml:space="preserve"> </w:t>
      </w:r>
      <w:r>
        <w:t>members</w:t>
      </w:r>
      <w:r>
        <w:rPr>
          <w:spacing w:val="-3"/>
        </w:rPr>
        <w:t xml:space="preserve"> </w:t>
      </w:r>
      <w:r>
        <w:t>received</w:t>
      </w:r>
      <w:r>
        <w:rPr>
          <w:spacing w:val="-4"/>
        </w:rPr>
        <w:t xml:space="preserve"> </w:t>
      </w:r>
      <w:r>
        <w:t>a</w:t>
      </w:r>
      <w:r>
        <w:rPr>
          <w:spacing w:val="-4"/>
        </w:rPr>
        <w:t xml:space="preserve"> </w:t>
      </w:r>
      <w:r>
        <w:t>copy</w:t>
      </w:r>
      <w:r>
        <w:rPr>
          <w:spacing w:val="-8"/>
        </w:rPr>
        <w:t xml:space="preserve"> </w:t>
      </w:r>
      <w:r>
        <w:t>of</w:t>
      </w:r>
      <w:r>
        <w:rPr>
          <w:spacing w:val="-4"/>
        </w:rPr>
        <w:t xml:space="preserve"> </w:t>
      </w:r>
      <w:r>
        <w:t>the</w:t>
      </w:r>
      <w:r>
        <w:rPr>
          <w:spacing w:val="-4"/>
        </w:rPr>
        <w:t xml:space="preserve"> </w:t>
      </w:r>
      <w:r>
        <w:t>presentation</w:t>
      </w:r>
      <w:r>
        <w:rPr>
          <w:spacing w:val="-3"/>
        </w:rPr>
        <w:t xml:space="preserve"> </w:t>
      </w:r>
      <w:r>
        <w:t>prior</w:t>
      </w:r>
      <w:r>
        <w:rPr>
          <w:spacing w:val="-4"/>
        </w:rPr>
        <w:t xml:space="preserve"> </w:t>
      </w:r>
      <w:r>
        <w:t>to</w:t>
      </w:r>
      <w:r>
        <w:rPr>
          <w:spacing w:val="-3"/>
        </w:rPr>
        <w:t xml:space="preserve"> </w:t>
      </w:r>
      <w:r>
        <w:t>the</w:t>
      </w:r>
      <w:r>
        <w:rPr>
          <w:spacing w:val="-4"/>
        </w:rPr>
        <w:t xml:space="preserve"> </w:t>
      </w:r>
      <w:r>
        <w:t>meeting. The Committee reviewed and approved the November 16, 2020, minutes.</w:t>
      </w:r>
    </w:p>
    <w:p w14:paraId="4C8EF3DA" w14:textId="77777777" w:rsidR="00EC16A7" w:rsidRDefault="00000000">
      <w:pPr>
        <w:pStyle w:val="BodyText"/>
        <w:ind w:left="359" w:right="77"/>
      </w:pPr>
      <w:r>
        <w:t>Ms. Gulbranson provided the HR update on outreach and communication efforts, which included articles and news shared through Purdue Today and the Healthy Boiler Newsletter. HR extended invitations to this year’s virtual Road to Retirement program to Purdue Alumni Association, Purdue Global and Purdue Research Foundation employees. There were over 300 additional participants compared to last Fall, and 22 live presentations (up from 16 last Fall). The Fidelity PMU office relocation/renovation is complete, and they are now at PMU 164 (across from PFCU and Amazon). Service</w:t>
      </w:r>
      <w:r>
        <w:rPr>
          <w:spacing w:val="-3"/>
        </w:rPr>
        <w:t xml:space="preserve"> </w:t>
      </w:r>
      <w:r>
        <w:t>model</w:t>
      </w:r>
      <w:r>
        <w:rPr>
          <w:spacing w:val="-2"/>
        </w:rPr>
        <w:t xml:space="preserve"> </w:t>
      </w:r>
      <w:r>
        <w:t>modification</w:t>
      </w:r>
      <w:r>
        <w:rPr>
          <w:spacing w:val="-2"/>
        </w:rPr>
        <w:t xml:space="preserve"> </w:t>
      </w:r>
      <w:r>
        <w:t>to</w:t>
      </w:r>
      <w:r>
        <w:rPr>
          <w:spacing w:val="-2"/>
        </w:rPr>
        <w:t xml:space="preserve"> </w:t>
      </w:r>
      <w:r>
        <w:t>the</w:t>
      </w:r>
      <w:r>
        <w:rPr>
          <w:spacing w:val="-3"/>
        </w:rPr>
        <w:t xml:space="preserve"> </w:t>
      </w:r>
      <w:r>
        <w:t>local</w:t>
      </w:r>
      <w:r>
        <w:rPr>
          <w:spacing w:val="-2"/>
        </w:rPr>
        <w:t xml:space="preserve"> </w:t>
      </w:r>
      <w:r>
        <w:t>Fidelity</w:t>
      </w:r>
      <w:r>
        <w:rPr>
          <w:spacing w:val="-7"/>
        </w:rPr>
        <w:t xml:space="preserve"> </w:t>
      </w:r>
      <w:r>
        <w:t>office</w:t>
      </w:r>
      <w:r>
        <w:rPr>
          <w:spacing w:val="-3"/>
        </w:rPr>
        <w:t xml:space="preserve"> </w:t>
      </w:r>
      <w:r>
        <w:t>resulted</w:t>
      </w:r>
      <w:r>
        <w:rPr>
          <w:spacing w:val="-2"/>
        </w:rPr>
        <w:t xml:space="preserve"> </w:t>
      </w:r>
      <w:r>
        <w:t>in</w:t>
      </w:r>
      <w:r>
        <w:rPr>
          <w:spacing w:val="-2"/>
        </w:rPr>
        <w:t xml:space="preserve"> </w:t>
      </w:r>
      <w:r>
        <w:t>recordkeeping</w:t>
      </w:r>
      <w:r>
        <w:rPr>
          <w:spacing w:val="-5"/>
        </w:rPr>
        <w:t xml:space="preserve"> </w:t>
      </w:r>
      <w:r>
        <w:t>fee</w:t>
      </w:r>
      <w:r>
        <w:rPr>
          <w:spacing w:val="-3"/>
        </w:rPr>
        <w:t xml:space="preserve"> </w:t>
      </w:r>
      <w:r>
        <w:t>reduction</w:t>
      </w:r>
      <w:r>
        <w:rPr>
          <w:spacing w:val="-2"/>
        </w:rPr>
        <w:t xml:space="preserve"> </w:t>
      </w:r>
      <w:r>
        <w:t>from</w:t>
      </w:r>
      <w:r>
        <w:rPr>
          <w:spacing w:val="-2"/>
        </w:rPr>
        <w:t xml:space="preserve"> </w:t>
      </w:r>
      <w:r>
        <w:t xml:space="preserve">$68 per participant to $61 per participant effective January 1, 2021. Work is underway to establish Fidelity accounts under PRF for transitioning Purdue Alumni Association employees reorganized as Purdue for </w:t>
      </w:r>
      <w:r>
        <w:rPr>
          <w:spacing w:val="-2"/>
        </w:rPr>
        <w:t>Life.</w:t>
      </w:r>
    </w:p>
    <w:p w14:paraId="232DC01F" w14:textId="77777777" w:rsidR="00EC16A7" w:rsidRDefault="00EC16A7">
      <w:pPr>
        <w:pStyle w:val="BodyText"/>
        <w:sectPr w:rsidR="00EC16A7">
          <w:footerReference w:type="default" r:id="rId7"/>
          <w:type w:val="continuous"/>
          <w:pgSz w:w="12240" w:h="15840"/>
          <w:pgMar w:top="1000" w:right="1080" w:bottom="800" w:left="720" w:header="0" w:footer="609" w:gutter="0"/>
          <w:pgNumType w:start="1"/>
          <w:cols w:space="720"/>
        </w:sectPr>
      </w:pPr>
    </w:p>
    <w:p w14:paraId="2D303B81" w14:textId="77777777" w:rsidR="00EC16A7" w:rsidRDefault="00000000">
      <w:pPr>
        <w:pStyle w:val="BodyText"/>
        <w:spacing w:before="79"/>
        <w:ind w:left="359"/>
      </w:pPr>
      <w:r>
        <w:lastRenderedPageBreak/>
        <w:t>Mr. Webb reviewed the process to replace Lazard as the active emerging markets fund manager and noted</w:t>
      </w:r>
      <w:r>
        <w:rPr>
          <w:spacing w:val="-3"/>
        </w:rPr>
        <w:t xml:space="preserve"> </w:t>
      </w:r>
      <w:r>
        <w:t>that</w:t>
      </w:r>
      <w:r>
        <w:rPr>
          <w:spacing w:val="-3"/>
        </w:rPr>
        <w:t xml:space="preserve"> </w:t>
      </w:r>
      <w:r>
        <w:t>BlackRock</w:t>
      </w:r>
      <w:r>
        <w:rPr>
          <w:spacing w:val="-3"/>
        </w:rPr>
        <w:t xml:space="preserve"> </w:t>
      </w:r>
      <w:r>
        <w:t>and</w:t>
      </w:r>
      <w:r>
        <w:rPr>
          <w:spacing w:val="-3"/>
        </w:rPr>
        <w:t xml:space="preserve"> </w:t>
      </w:r>
      <w:r>
        <w:t>Schroders</w:t>
      </w:r>
      <w:r>
        <w:rPr>
          <w:spacing w:val="-3"/>
        </w:rPr>
        <w:t xml:space="preserve"> </w:t>
      </w:r>
      <w:r>
        <w:t>were</w:t>
      </w:r>
      <w:r>
        <w:rPr>
          <w:spacing w:val="-4"/>
        </w:rPr>
        <w:t xml:space="preserve"> </w:t>
      </w:r>
      <w:r>
        <w:t>the</w:t>
      </w:r>
      <w:r>
        <w:rPr>
          <w:spacing w:val="-4"/>
        </w:rPr>
        <w:t xml:space="preserve"> </w:t>
      </w:r>
      <w:r>
        <w:t>two</w:t>
      </w:r>
      <w:r>
        <w:rPr>
          <w:spacing w:val="-1"/>
        </w:rPr>
        <w:t xml:space="preserve"> </w:t>
      </w:r>
      <w:r>
        <w:t>finalists</w:t>
      </w:r>
      <w:r>
        <w:rPr>
          <w:spacing w:val="-3"/>
        </w:rPr>
        <w:t xml:space="preserve"> </w:t>
      </w:r>
      <w:r>
        <w:t>advanced</w:t>
      </w:r>
      <w:r>
        <w:rPr>
          <w:spacing w:val="-1"/>
        </w:rPr>
        <w:t xml:space="preserve"> </w:t>
      </w:r>
      <w:r>
        <w:t>for</w:t>
      </w:r>
      <w:r>
        <w:rPr>
          <w:spacing w:val="-4"/>
        </w:rPr>
        <w:t xml:space="preserve"> </w:t>
      </w:r>
      <w:r>
        <w:t>further</w:t>
      </w:r>
      <w:r>
        <w:rPr>
          <w:spacing w:val="-4"/>
        </w:rPr>
        <w:t xml:space="preserve"> </w:t>
      </w:r>
      <w:r>
        <w:t>review.</w:t>
      </w:r>
      <w:r>
        <w:rPr>
          <w:spacing w:val="-1"/>
        </w:rPr>
        <w:t xml:space="preserve"> </w:t>
      </w:r>
      <w:r>
        <w:t>Following</w:t>
      </w:r>
      <w:r>
        <w:rPr>
          <w:spacing w:val="-6"/>
        </w:rPr>
        <w:t xml:space="preserve"> </w:t>
      </w:r>
      <w:r>
        <w:t xml:space="preserve">video conferences, BlackRock was recommended to replace Lazard as </w:t>
      </w:r>
      <w:proofErr w:type="gramStart"/>
      <w:r>
        <w:t>the</w:t>
      </w:r>
      <w:r>
        <w:rPr>
          <w:spacing w:val="-1"/>
        </w:rPr>
        <w:t xml:space="preserve"> </w:t>
      </w:r>
      <w:r>
        <w:t>platform’s</w:t>
      </w:r>
      <w:proofErr w:type="gramEnd"/>
      <w:r>
        <w:t xml:space="preserve"> Tier</w:t>
      </w:r>
      <w:r>
        <w:rPr>
          <w:spacing w:val="-1"/>
        </w:rPr>
        <w:t xml:space="preserve"> </w:t>
      </w:r>
      <w:r>
        <w:t>3 emerging</w:t>
      </w:r>
      <w:r>
        <w:rPr>
          <w:spacing w:val="-3"/>
        </w:rPr>
        <w:t xml:space="preserve"> </w:t>
      </w:r>
      <w:r>
        <w:t>markets manager. A summary of BlackRock as a firm and the emerging market fund is contained in the committee materials and was shared with committee participants before the meeting. The Committee endorsed the recommendation of BlackRock Emerging</w:t>
      </w:r>
      <w:r>
        <w:rPr>
          <w:spacing w:val="-2"/>
        </w:rPr>
        <w:t xml:space="preserve"> </w:t>
      </w:r>
      <w:r>
        <w:t xml:space="preserve">Markets Fund (MADCX). Chris Ruhl, Treasurer and CFO, has approved the fund for inclusion in the retirement plan platform. Mr. Webb has notified all companies involved in the search process and Ms. Gulbranson will </w:t>
      </w:r>
      <w:proofErr w:type="gramStart"/>
      <w:r>
        <w:t>follow-up</w:t>
      </w:r>
      <w:proofErr w:type="gramEnd"/>
      <w:r>
        <w:t xml:space="preserve"> with Fidelity on the transitions and communications for current participants investing funds with Lazard on the platform.</w:t>
      </w:r>
    </w:p>
    <w:p w14:paraId="2E67A054" w14:textId="77777777" w:rsidR="00EC16A7" w:rsidRDefault="00EC16A7">
      <w:pPr>
        <w:pStyle w:val="BodyText"/>
      </w:pPr>
    </w:p>
    <w:p w14:paraId="587E6F89" w14:textId="77777777" w:rsidR="00EC16A7" w:rsidRDefault="00000000">
      <w:pPr>
        <w:pStyle w:val="BodyText"/>
        <w:ind w:left="359" w:right="116"/>
      </w:pPr>
      <w:r>
        <w:t>Mr. Webb reviewed the retirement plan dashboard as of March 31, 2021, noting $2.5 billion was invested</w:t>
      </w:r>
      <w:r>
        <w:rPr>
          <w:spacing w:val="-3"/>
        </w:rPr>
        <w:t xml:space="preserve"> </w:t>
      </w:r>
      <w:r>
        <w:t>within</w:t>
      </w:r>
      <w:r>
        <w:rPr>
          <w:spacing w:val="-3"/>
        </w:rPr>
        <w:t xml:space="preserve"> </w:t>
      </w:r>
      <w:r>
        <w:t>the</w:t>
      </w:r>
      <w:r>
        <w:rPr>
          <w:spacing w:val="-4"/>
        </w:rPr>
        <w:t xml:space="preserve"> </w:t>
      </w:r>
      <w:r>
        <w:t>retirement</w:t>
      </w:r>
      <w:r>
        <w:rPr>
          <w:spacing w:val="-3"/>
        </w:rPr>
        <w:t xml:space="preserve"> </w:t>
      </w:r>
      <w:r>
        <w:t>platform’s</w:t>
      </w:r>
      <w:r>
        <w:rPr>
          <w:spacing w:val="-3"/>
        </w:rPr>
        <w:t xml:space="preserve"> </w:t>
      </w:r>
      <w:r>
        <w:t>four-tier</w:t>
      </w:r>
      <w:r>
        <w:rPr>
          <w:spacing w:val="-3"/>
        </w:rPr>
        <w:t xml:space="preserve"> </w:t>
      </w:r>
      <w:r>
        <w:t>structure.</w:t>
      </w:r>
      <w:r>
        <w:rPr>
          <w:spacing w:val="-3"/>
        </w:rPr>
        <w:t xml:space="preserve"> </w:t>
      </w:r>
      <w:r>
        <w:t>Approximately</w:t>
      </w:r>
      <w:r>
        <w:rPr>
          <w:spacing w:val="-6"/>
        </w:rPr>
        <w:t xml:space="preserve"> </w:t>
      </w:r>
      <w:r>
        <w:t>63%</w:t>
      </w:r>
      <w:r>
        <w:rPr>
          <w:spacing w:val="-4"/>
        </w:rPr>
        <w:t xml:space="preserve"> </w:t>
      </w:r>
      <w:r>
        <w:t>of</w:t>
      </w:r>
      <w:r>
        <w:rPr>
          <w:spacing w:val="-4"/>
        </w:rPr>
        <w:t xml:space="preserve"> </w:t>
      </w:r>
      <w:r>
        <w:t>participants</w:t>
      </w:r>
      <w:r>
        <w:rPr>
          <w:spacing w:val="-3"/>
        </w:rPr>
        <w:t xml:space="preserve"> </w:t>
      </w:r>
      <w:r>
        <w:t>invest in Tier 1 target date funds; 16% in Tier 2 passive index funds; 16% in Tier 3 actively</w:t>
      </w:r>
      <w:r>
        <w:rPr>
          <w:spacing w:val="-2"/>
        </w:rPr>
        <w:t xml:space="preserve"> </w:t>
      </w:r>
      <w:r>
        <w:t>managed funds, including the MetLife Stable Value Option’; and 5% in Tier 4 through the brokerage window. The dashboard provided included expense ratios, share class, calendar year-to-date, 1, 3 and 5-year performance for the Tier 1, 2 and 3 investment funds.</w:t>
      </w:r>
    </w:p>
    <w:p w14:paraId="0589BD61" w14:textId="77777777" w:rsidR="00EC16A7" w:rsidRDefault="00EC16A7">
      <w:pPr>
        <w:pStyle w:val="BodyText"/>
      </w:pPr>
    </w:p>
    <w:p w14:paraId="1032E737" w14:textId="77777777" w:rsidR="00EC16A7" w:rsidRDefault="00000000">
      <w:pPr>
        <w:pStyle w:val="BodyText"/>
        <w:ind w:left="359"/>
      </w:pPr>
      <w:r>
        <w:t xml:space="preserve">Mr. Webb reviewed three active managers with the committee: Wells Fargo Discovery Fund, American Funds New Perspective, and Cohen and Steers Reality Shares. All three managers were in the first or second peer rank quartile for the </w:t>
      </w:r>
      <w:proofErr w:type="gramStart"/>
      <w:r>
        <w:t>1, 3, and 5 year</w:t>
      </w:r>
      <w:proofErr w:type="gramEnd"/>
      <w:r>
        <w:t xml:space="preserve"> periods ending March 31, 2021. All Tier 3 active managers have</w:t>
      </w:r>
      <w:r>
        <w:rPr>
          <w:spacing w:val="-1"/>
        </w:rPr>
        <w:t xml:space="preserve"> </w:t>
      </w:r>
      <w:r>
        <w:t>now</w:t>
      </w:r>
      <w:r>
        <w:rPr>
          <w:spacing w:val="-1"/>
        </w:rPr>
        <w:t xml:space="preserve"> </w:t>
      </w:r>
      <w:r>
        <w:t>been reviewed with this Committee</w:t>
      </w:r>
      <w:r>
        <w:rPr>
          <w:spacing w:val="-1"/>
        </w:rPr>
        <w:t xml:space="preserve"> </w:t>
      </w:r>
      <w:r>
        <w:t>and, beginning with the</w:t>
      </w:r>
      <w:r>
        <w:rPr>
          <w:spacing w:val="-1"/>
        </w:rPr>
        <w:t xml:space="preserve"> </w:t>
      </w:r>
      <w:r>
        <w:t>November</w:t>
      </w:r>
      <w:r>
        <w:rPr>
          <w:spacing w:val="-1"/>
        </w:rPr>
        <w:t xml:space="preserve"> </w:t>
      </w:r>
      <w:r>
        <w:t>meeting, the process will start over. Mr. Webb noted that the Office of Investments is continually evaluating all managers,</w:t>
      </w:r>
      <w:r>
        <w:rPr>
          <w:spacing w:val="-2"/>
        </w:rPr>
        <w:t xml:space="preserve"> </w:t>
      </w:r>
      <w:r>
        <w:t>but</w:t>
      </w:r>
      <w:r>
        <w:rPr>
          <w:spacing w:val="-2"/>
        </w:rPr>
        <w:t xml:space="preserve"> </w:t>
      </w:r>
      <w:r>
        <w:t>the</w:t>
      </w:r>
      <w:r>
        <w:rPr>
          <w:spacing w:val="-3"/>
        </w:rPr>
        <w:t xml:space="preserve"> </w:t>
      </w:r>
      <w:r>
        <w:t>reviews</w:t>
      </w:r>
      <w:r>
        <w:rPr>
          <w:spacing w:val="-2"/>
        </w:rPr>
        <w:t xml:space="preserve"> </w:t>
      </w:r>
      <w:r>
        <w:t>with</w:t>
      </w:r>
      <w:r>
        <w:rPr>
          <w:spacing w:val="-2"/>
        </w:rPr>
        <w:t xml:space="preserve"> </w:t>
      </w:r>
      <w:r>
        <w:t>the</w:t>
      </w:r>
      <w:r>
        <w:rPr>
          <w:spacing w:val="-3"/>
        </w:rPr>
        <w:t xml:space="preserve"> </w:t>
      </w:r>
      <w:r>
        <w:t>Committee</w:t>
      </w:r>
      <w:r>
        <w:rPr>
          <w:spacing w:val="-3"/>
        </w:rPr>
        <w:t xml:space="preserve"> </w:t>
      </w:r>
      <w:r>
        <w:t>provide</w:t>
      </w:r>
      <w:r>
        <w:rPr>
          <w:spacing w:val="-3"/>
        </w:rPr>
        <w:t xml:space="preserve"> </w:t>
      </w:r>
      <w:r>
        <w:t>the</w:t>
      </w:r>
      <w:r>
        <w:rPr>
          <w:spacing w:val="-3"/>
        </w:rPr>
        <w:t xml:space="preserve"> </w:t>
      </w:r>
      <w:r>
        <w:t>opportunity</w:t>
      </w:r>
      <w:r>
        <w:rPr>
          <w:spacing w:val="-7"/>
        </w:rPr>
        <w:t xml:space="preserve"> </w:t>
      </w:r>
      <w:r>
        <w:t>to</w:t>
      </w:r>
      <w:r>
        <w:rPr>
          <w:spacing w:val="-2"/>
        </w:rPr>
        <w:t xml:space="preserve"> </w:t>
      </w:r>
      <w:r>
        <w:t>dig</w:t>
      </w:r>
      <w:r>
        <w:rPr>
          <w:spacing w:val="-5"/>
        </w:rPr>
        <w:t xml:space="preserve"> </w:t>
      </w:r>
      <w:r>
        <w:t>a</w:t>
      </w:r>
      <w:r>
        <w:rPr>
          <w:spacing w:val="-3"/>
        </w:rPr>
        <w:t xml:space="preserve"> </w:t>
      </w:r>
      <w:r>
        <w:t>little</w:t>
      </w:r>
      <w:r>
        <w:rPr>
          <w:spacing w:val="-3"/>
        </w:rPr>
        <w:t xml:space="preserve"> </w:t>
      </w:r>
      <w:r>
        <w:t>deeper</w:t>
      </w:r>
      <w:r>
        <w:rPr>
          <w:spacing w:val="-1"/>
        </w:rPr>
        <w:t xml:space="preserve"> </w:t>
      </w:r>
      <w:r>
        <w:t>and</w:t>
      </w:r>
      <w:r>
        <w:rPr>
          <w:spacing w:val="-2"/>
        </w:rPr>
        <w:t xml:space="preserve"> </w:t>
      </w:r>
      <w:r>
        <w:t>review</w:t>
      </w:r>
      <w:r>
        <w:rPr>
          <w:spacing w:val="-3"/>
        </w:rPr>
        <w:t xml:space="preserve"> </w:t>
      </w:r>
      <w:r>
        <w:t xml:space="preserve">a selected group of </w:t>
      </w:r>
      <w:proofErr w:type="gramStart"/>
      <w:r>
        <w:t>manager</w:t>
      </w:r>
      <w:proofErr w:type="gramEnd"/>
      <w:r>
        <w:t xml:space="preserve"> in greater detail.</w:t>
      </w:r>
    </w:p>
    <w:p w14:paraId="0BDCEC92" w14:textId="77777777" w:rsidR="00EC16A7" w:rsidRDefault="00EC16A7">
      <w:pPr>
        <w:pStyle w:val="BodyText"/>
      </w:pPr>
    </w:p>
    <w:p w14:paraId="356C4A5F" w14:textId="77777777" w:rsidR="00EC16A7" w:rsidRDefault="00000000">
      <w:pPr>
        <w:pStyle w:val="BodyText"/>
        <w:ind w:left="359" w:right="333"/>
      </w:pPr>
      <w:r>
        <w:t>The</w:t>
      </w:r>
      <w:r>
        <w:rPr>
          <w:spacing w:val="-4"/>
        </w:rPr>
        <w:t xml:space="preserve"> </w:t>
      </w:r>
      <w:r>
        <w:t>next</w:t>
      </w:r>
      <w:r>
        <w:rPr>
          <w:spacing w:val="-3"/>
        </w:rPr>
        <w:t xml:space="preserve"> </w:t>
      </w:r>
      <w:r>
        <w:t>meeting</w:t>
      </w:r>
      <w:r>
        <w:rPr>
          <w:spacing w:val="-6"/>
        </w:rPr>
        <w:t xml:space="preserve"> </w:t>
      </w:r>
      <w:r>
        <w:t>(still</w:t>
      </w:r>
      <w:r>
        <w:rPr>
          <w:spacing w:val="-3"/>
        </w:rPr>
        <w:t xml:space="preserve"> </w:t>
      </w:r>
      <w:r>
        <w:t>virtual)</w:t>
      </w:r>
      <w:r>
        <w:rPr>
          <w:spacing w:val="-4"/>
        </w:rPr>
        <w:t xml:space="preserve"> </w:t>
      </w:r>
      <w:r>
        <w:t>is</w:t>
      </w:r>
      <w:r>
        <w:rPr>
          <w:spacing w:val="-3"/>
        </w:rPr>
        <w:t xml:space="preserve"> </w:t>
      </w:r>
      <w:r>
        <w:t>on</w:t>
      </w:r>
      <w:r>
        <w:rPr>
          <w:spacing w:val="-3"/>
        </w:rPr>
        <w:t xml:space="preserve"> </w:t>
      </w:r>
      <w:r>
        <w:t>November</w:t>
      </w:r>
      <w:r>
        <w:rPr>
          <w:spacing w:val="-4"/>
        </w:rPr>
        <w:t xml:space="preserve"> </w:t>
      </w:r>
      <w:r>
        <w:t>16,</w:t>
      </w:r>
      <w:r>
        <w:rPr>
          <w:spacing w:val="-3"/>
        </w:rPr>
        <w:t xml:space="preserve"> </w:t>
      </w:r>
      <w:r>
        <w:t>2021,</w:t>
      </w:r>
      <w:r>
        <w:rPr>
          <w:spacing w:val="-3"/>
        </w:rPr>
        <w:t xml:space="preserve"> </w:t>
      </w:r>
      <w:r>
        <w:t>from</w:t>
      </w:r>
      <w:r>
        <w:rPr>
          <w:spacing w:val="-3"/>
        </w:rPr>
        <w:t xml:space="preserve"> </w:t>
      </w:r>
      <w:r>
        <w:t>1-3</w:t>
      </w:r>
      <w:r>
        <w:rPr>
          <w:spacing w:val="-3"/>
        </w:rPr>
        <w:t xml:space="preserve"> </w:t>
      </w:r>
      <w:r>
        <w:t>p.m.</w:t>
      </w:r>
      <w:r>
        <w:rPr>
          <w:spacing w:val="-3"/>
        </w:rPr>
        <w:t xml:space="preserve"> </w:t>
      </w:r>
      <w:r>
        <w:t>ET.</w:t>
      </w:r>
      <w:r>
        <w:rPr>
          <w:spacing w:val="-3"/>
        </w:rPr>
        <w:t xml:space="preserve"> </w:t>
      </w:r>
      <w:r>
        <w:t>Members</w:t>
      </w:r>
      <w:r>
        <w:rPr>
          <w:spacing w:val="-3"/>
        </w:rPr>
        <w:t xml:space="preserve"> </w:t>
      </w:r>
      <w:r>
        <w:t>with</w:t>
      </w:r>
      <w:r>
        <w:rPr>
          <w:spacing w:val="-3"/>
        </w:rPr>
        <w:t xml:space="preserve"> </w:t>
      </w:r>
      <w:r>
        <w:t>special topics for future meetings should forward the suggested items to Mr. Almond.</w:t>
      </w:r>
    </w:p>
    <w:sectPr w:rsidR="00EC16A7">
      <w:pgSz w:w="12240" w:h="15840"/>
      <w:pgMar w:top="1180" w:right="1080" w:bottom="800" w:left="72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A8FD" w14:textId="77777777" w:rsidR="00605F50" w:rsidRDefault="00605F50">
      <w:r>
        <w:separator/>
      </w:r>
    </w:p>
  </w:endnote>
  <w:endnote w:type="continuationSeparator" w:id="0">
    <w:p w14:paraId="66E3545A" w14:textId="77777777" w:rsidR="00605F50" w:rsidRDefault="006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267" w14:textId="77777777" w:rsidR="00EC16A7" w:rsidRDefault="00000000">
    <w:pPr>
      <w:pStyle w:val="BodyText"/>
      <w:spacing w:line="14" w:lineRule="auto"/>
      <w:rPr>
        <w:sz w:val="20"/>
      </w:rPr>
    </w:pPr>
    <w:r>
      <w:rPr>
        <w:noProof/>
        <w:sz w:val="20"/>
      </w:rPr>
      <mc:AlternateContent>
        <mc:Choice Requires="wps">
          <w:drawing>
            <wp:anchor distT="0" distB="0" distL="0" distR="0" simplePos="0" relativeHeight="487554048" behindDoc="1" locked="0" layoutInCell="1" allowOverlap="1" wp14:anchorId="23496BA3" wp14:editId="52B30708">
              <wp:simplePos x="0" y="0"/>
              <wp:positionH relativeFrom="page">
                <wp:posOffset>5585037</wp:posOffset>
              </wp:positionH>
              <wp:positionV relativeFrom="page">
                <wp:posOffset>9532169</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3921AE4D" w14:textId="77777777" w:rsidR="00EC16A7" w:rsidRDefault="00000000">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3496BA3" id="_x0000_t202" coordsize="21600,21600" o:spt="202" path="m,l,21600r21600,l21600,xe">
              <v:stroke joinstyle="miter"/>
              <v:path gradientshapeok="t" o:connecttype="rect"/>
            </v:shapetype>
            <v:shape id="Textbox 1" o:spid="_x0000_s1026" type="#_x0000_t202" style="position:absolute;margin-left:439.75pt;margin-top:750.55pt;width:47.3pt;height:13.0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xkwEAABoDAAAOAAAAZHJzL2Uyb0RvYy54bWysUsGO0zAQvSPxD5bv1Omi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qrpbcsZwarm6vXt7m/1W18cRKX2y4EUO&#10;Gok8rkJAH54onUrPJTOXU/tMJE3biUtyuIX2yBpGHmMj6ddeo5Vi+BzYpzzzc4DnYHsOMA0foPyM&#10;LCXAwz6B60vnK+7cmQdQuM+fJU/4z3Opun7pzW8AAAD//wMAUEsDBBQABgAIAAAAIQCBCKYh4gAA&#10;AA0BAAAPAAAAZHJzL2Rvd25yZXYueG1sTI/BTsMwEETvSPyDtZW4UScRbZo0TlUhOCEh0nDg6MRu&#10;YjVeh9htw9+zPcFtd2c0+6bYzXZgFz1541BAvIyAaWydMtgJ+KxfHzfAfJCo5OBQC/jRHnbl/V0h&#10;c+WuWOnLIXSMQtDnUkAfwphz7tteW+mXbtRI2tFNVgZap46rSV4p3A48iaI1t9IgfejlqJ973Z4O&#10;Zytg/4XVi/l+bz6qY2XqOovwbX0S4mEx77fAgp7Dnxlu+IQOJTE17ozKs0HAJs1WZCVhFcUxMLJk&#10;6RMNze2UpAnwsuD/W5S/AAAA//8DAFBLAQItABQABgAIAAAAIQC2gziS/gAAAOEBAAATAAAAAAAA&#10;AAAAAAAAAAAAAABbQ29udGVudF9UeXBlc10ueG1sUEsBAi0AFAAGAAgAAAAhADj9If/WAAAAlAEA&#10;AAsAAAAAAAAAAAAAAAAALwEAAF9yZWxzLy5yZWxzUEsBAi0AFAAGAAgAAAAhAK+8gLGTAQAAGgMA&#10;AA4AAAAAAAAAAAAAAAAALgIAAGRycy9lMm9Eb2MueG1sUEsBAi0AFAAGAAgAAAAhAIEIpiHiAAAA&#10;DQEAAA8AAAAAAAAAAAAAAAAA7QMAAGRycy9kb3ducmV2LnhtbFBLBQYAAAAABAAEAPMAAAD8BAAA&#10;AAA=&#10;" filled="f" stroked="f">
              <v:textbox inset="0,0,0,0">
                <w:txbxContent>
                  <w:p w14:paraId="3921AE4D" w14:textId="77777777" w:rsidR="00EC16A7" w:rsidRDefault="00000000">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7F8A" w14:textId="77777777" w:rsidR="00605F50" w:rsidRDefault="00605F50">
      <w:r>
        <w:separator/>
      </w:r>
    </w:p>
  </w:footnote>
  <w:footnote w:type="continuationSeparator" w:id="0">
    <w:p w14:paraId="604283AF" w14:textId="77777777" w:rsidR="00605F50" w:rsidRDefault="0060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16A7"/>
    <w:rsid w:val="005F5FB6"/>
    <w:rsid w:val="00605F50"/>
    <w:rsid w:val="00EC16A7"/>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44B3"/>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6" w:right="3004"/>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ind w:left="3366" w:right="3009"/>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4090</Characters>
  <Application>Microsoft Office Word</Application>
  <DocSecurity>0</DocSecurity>
  <Lines>63</Lines>
  <Paragraphs>16</Paragraphs>
  <ScaleCrop>false</ScaleCrop>
  <Company>Purdue University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2026-04-11T15:40:00Z</dcterms:created>
  <dcterms:modified xsi:type="dcterms:W3CDTF">2026-04-11T15:40:00Z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Acrobat PDFMaker 21 for Word</vt:lpwstr>
  </property>
  <property fmtid="{D5CDD505-2E9C-101B-9397-08002B2CF9AE}" pid="4" name="LastSaved">
    <vt:filetime>2026-04-11T00:00:00Z</vt:filetime>
  </property>
  <property fmtid="{D5CDD505-2E9C-101B-9397-08002B2CF9AE}" pid="5" name="Producer">
    <vt:lpwstr>Adobe PDF Library 21.5.92</vt:lpwstr>
  </property>
  <property fmtid="{D5CDD505-2E9C-101B-9397-08002B2CF9AE}" pid="6" name="SourceModified">
    <vt:lpwstr>D:20210903204458</vt:lpwstr>
  </property>
  <property fmtid="{D5CDD505-2E9C-101B-9397-08002B2CF9AE}" pid="7" name="_NewReviewCycle">
    <vt:lpwstr/>
  </property>
</Properties>
</file>