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055D0" w14:textId="77777777" w:rsidR="00F6262B" w:rsidRDefault="00000000">
      <w:pPr>
        <w:spacing w:before="81" w:line="278" w:lineRule="auto"/>
        <w:ind w:left="4060" w:right="3594" w:hanging="565"/>
      </w:pPr>
      <w:bookmarkStart w:id="0" w:name="Retirement_Plan_Committee"/>
      <w:bookmarkEnd w:id="0"/>
      <w:r>
        <w:rPr>
          <w:b/>
        </w:rPr>
        <w:t>Retirement</w:t>
      </w:r>
      <w:r>
        <w:rPr>
          <w:b/>
          <w:spacing w:val="-14"/>
        </w:rPr>
        <w:t xml:space="preserve"> </w:t>
      </w:r>
      <w:r>
        <w:rPr>
          <w:b/>
        </w:rPr>
        <w:t>Plan</w:t>
      </w:r>
      <w:r>
        <w:rPr>
          <w:b/>
          <w:spacing w:val="-14"/>
        </w:rPr>
        <w:t xml:space="preserve"> </w:t>
      </w:r>
      <w:r>
        <w:rPr>
          <w:b/>
        </w:rPr>
        <w:t xml:space="preserve">Committee </w:t>
      </w:r>
      <w:bookmarkStart w:id="1" w:name="April_18,_2025"/>
      <w:bookmarkEnd w:id="1"/>
      <w:r>
        <w:t xml:space="preserve">April 18, </w:t>
      </w:r>
      <w:proofErr w:type="gramStart"/>
      <w:r>
        <w:t>2025</w:t>
      </w:r>
      <w:proofErr w:type="gramEnd"/>
      <w:r>
        <w:rPr>
          <w:spacing w:val="40"/>
        </w:rPr>
        <w:t xml:space="preserve"> </w:t>
      </w:r>
      <w:bookmarkStart w:id="2" w:name="Meeting_Minutes"/>
      <w:bookmarkEnd w:id="2"/>
      <w:r>
        <w:t>Meeting Minutes</w:t>
      </w:r>
    </w:p>
    <w:p w14:paraId="04F8FC82" w14:textId="77777777" w:rsidR="00F6262B" w:rsidRDefault="00F6262B">
      <w:pPr>
        <w:pStyle w:val="BodyText"/>
        <w:spacing w:before="37"/>
        <w:ind w:right="0"/>
      </w:pPr>
    </w:p>
    <w:p w14:paraId="5EFBC8F0" w14:textId="77777777" w:rsidR="00F6262B" w:rsidRDefault="00000000">
      <w:pPr>
        <w:spacing w:line="278" w:lineRule="auto"/>
        <w:ind w:left="1079" w:right="132" w:hanging="1080"/>
        <w:rPr>
          <w:i/>
          <w:sz w:val="20"/>
        </w:rPr>
      </w:pPr>
      <w:r>
        <w:rPr>
          <w:i/>
          <w:sz w:val="20"/>
        </w:rPr>
        <w:t>Participants:</w:t>
      </w:r>
      <w:r>
        <w:rPr>
          <w:i/>
          <w:spacing w:val="-3"/>
          <w:sz w:val="20"/>
        </w:rPr>
        <w:t xml:space="preserve"> </w:t>
      </w:r>
      <w:proofErr w:type="spellStart"/>
      <w:r>
        <w:rPr>
          <w:i/>
          <w:sz w:val="20"/>
        </w:rPr>
        <w:t>DeAndra</w:t>
      </w:r>
      <w:proofErr w:type="spellEnd"/>
      <w:r>
        <w:rPr>
          <w:i/>
          <w:spacing w:val="-3"/>
          <w:sz w:val="20"/>
        </w:rPr>
        <w:t xml:space="preserve"> </w:t>
      </w:r>
      <w:r>
        <w:rPr>
          <w:i/>
          <w:sz w:val="20"/>
        </w:rPr>
        <w:t>Ballard,</w:t>
      </w:r>
      <w:r>
        <w:rPr>
          <w:i/>
          <w:spacing w:val="-3"/>
          <w:sz w:val="20"/>
        </w:rPr>
        <w:t xml:space="preserve"> </w:t>
      </w:r>
      <w:r>
        <w:rPr>
          <w:i/>
          <w:sz w:val="20"/>
        </w:rPr>
        <w:t>Amy</w:t>
      </w:r>
      <w:r>
        <w:rPr>
          <w:i/>
          <w:spacing w:val="-4"/>
          <w:sz w:val="20"/>
        </w:rPr>
        <w:t xml:space="preserve"> </w:t>
      </w:r>
      <w:r>
        <w:rPr>
          <w:i/>
          <w:sz w:val="20"/>
        </w:rPr>
        <w:t>Boyle,</w:t>
      </w:r>
      <w:r>
        <w:rPr>
          <w:i/>
          <w:spacing w:val="-3"/>
          <w:sz w:val="20"/>
        </w:rPr>
        <w:t xml:space="preserve"> </w:t>
      </w:r>
      <w:r>
        <w:rPr>
          <w:i/>
          <w:sz w:val="20"/>
        </w:rPr>
        <w:t>Rick</w:t>
      </w:r>
      <w:r>
        <w:rPr>
          <w:i/>
          <w:spacing w:val="-4"/>
          <w:sz w:val="20"/>
        </w:rPr>
        <w:t xml:space="preserve"> </w:t>
      </w:r>
      <w:proofErr w:type="spellStart"/>
      <w:r>
        <w:rPr>
          <w:i/>
          <w:sz w:val="20"/>
        </w:rPr>
        <w:t>Cosier</w:t>
      </w:r>
      <w:proofErr w:type="spellEnd"/>
      <w:r>
        <w:rPr>
          <w:i/>
          <w:sz w:val="20"/>
        </w:rPr>
        <w:t>,</w:t>
      </w:r>
      <w:r>
        <w:rPr>
          <w:i/>
          <w:spacing w:val="-3"/>
          <w:sz w:val="20"/>
        </w:rPr>
        <w:t xml:space="preserve"> </w:t>
      </w:r>
      <w:r>
        <w:rPr>
          <w:i/>
          <w:sz w:val="20"/>
        </w:rPr>
        <w:t>Dennis</w:t>
      </w:r>
      <w:r>
        <w:rPr>
          <w:i/>
          <w:spacing w:val="-5"/>
          <w:sz w:val="20"/>
        </w:rPr>
        <w:t xml:space="preserve"> </w:t>
      </w:r>
      <w:r>
        <w:rPr>
          <w:i/>
          <w:sz w:val="20"/>
        </w:rPr>
        <w:t>Bowling,</w:t>
      </w:r>
      <w:r>
        <w:rPr>
          <w:i/>
          <w:spacing w:val="-3"/>
          <w:sz w:val="20"/>
        </w:rPr>
        <w:t xml:space="preserve"> </w:t>
      </w:r>
      <w:r>
        <w:rPr>
          <w:i/>
          <w:sz w:val="20"/>
        </w:rPr>
        <w:t>Janine</w:t>
      </w:r>
      <w:r>
        <w:rPr>
          <w:i/>
          <w:spacing w:val="-4"/>
          <w:sz w:val="20"/>
        </w:rPr>
        <w:t xml:space="preserve"> </w:t>
      </w:r>
      <w:r>
        <w:rPr>
          <w:i/>
          <w:sz w:val="20"/>
        </w:rPr>
        <w:t>Gulbranson,</w:t>
      </w:r>
      <w:r>
        <w:rPr>
          <w:i/>
          <w:spacing w:val="-3"/>
          <w:sz w:val="20"/>
        </w:rPr>
        <w:t xml:space="preserve"> </w:t>
      </w:r>
      <w:r>
        <w:rPr>
          <w:i/>
          <w:sz w:val="20"/>
        </w:rPr>
        <w:t>Laura</w:t>
      </w:r>
      <w:r>
        <w:rPr>
          <w:i/>
          <w:spacing w:val="-3"/>
          <w:sz w:val="20"/>
        </w:rPr>
        <w:t xml:space="preserve"> </w:t>
      </w:r>
      <w:r>
        <w:rPr>
          <w:i/>
          <w:sz w:val="20"/>
        </w:rPr>
        <w:t>Hawkins,</w:t>
      </w:r>
      <w:r>
        <w:rPr>
          <w:i/>
          <w:spacing w:val="-3"/>
          <w:sz w:val="20"/>
        </w:rPr>
        <w:t xml:space="preserve"> </w:t>
      </w:r>
      <w:r>
        <w:rPr>
          <w:i/>
          <w:sz w:val="20"/>
        </w:rPr>
        <w:t>Debra Michel, Candace Shaffer, Blair Webb, Lori Tripoli, Ann O'Bradovich, Tony Lissuzzo, Benjamin Taylor, Patrick Wisdom.</w:t>
      </w:r>
    </w:p>
    <w:p w14:paraId="7C58847D" w14:textId="77777777" w:rsidR="00F6262B" w:rsidRDefault="00000000">
      <w:pPr>
        <w:pStyle w:val="BodyText"/>
        <w:spacing w:before="160" w:line="278" w:lineRule="auto"/>
      </w:pPr>
      <w:r>
        <w:t>This</w:t>
      </w:r>
      <w:r>
        <w:rPr>
          <w:spacing w:val="-3"/>
        </w:rPr>
        <w:t xml:space="preserve"> </w:t>
      </w:r>
      <w:r>
        <w:t>was</w:t>
      </w:r>
      <w:r>
        <w:rPr>
          <w:spacing w:val="-3"/>
        </w:rPr>
        <w:t xml:space="preserve"> </w:t>
      </w:r>
      <w:r>
        <w:t>the</w:t>
      </w:r>
      <w:r>
        <w:rPr>
          <w:spacing w:val="-3"/>
        </w:rPr>
        <w:t xml:space="preserve"> </w:t>
      </w:r>
      <w:r>
        <w:t>regularly</w:t>
      </w:r>
      <w:r>
        <w:rPr>
          <w:spacing w:val="-3"/>
        </w:rPr>
        <w:t xml:space="preserve"> </w:t>
      </w:r>
      <w:r>
        <w:t>scheduled</w:t>
      </w:r>
      <w:r>
        <w:rPr>
          <w:spacing w:val="-6"/>
        </w:rPr>
        <w:t xml:space="preserve"> </w:t>
      </w:r>
      <w:r>
        <w:t>meeting</w:t>
      </w:r>
      <w:r>
        <w:rPr>
          <w:spacing w:val="-3"/>
        </w:rPr>
        <w:t xml:space="preserve"> </w:t>
      </w:r>
      <w:r>
        <w:t>of</w:t>
      </w:r>
      <w:r>
        <w:rPr>
          <w:spacing w:val="-2"/>
        </w:rPr>
        <w:t xml:space="preserve"> </w:t>
      </w:r>
      <w:r>
        <w:t>the</w:t>
      </w:r>
      <w:r>
        <w:rPr>
          <w:spacing w:val="-3"/>
        </w:rPr>
        <w:t xml:space="preserve"> </w:t>
      </w:r>
      <w:r>
        <w:t>Retirement</w:t>
      </w:r>
      <w:r>
        <w:rPr>
          <w:spacing w:val="-2"/>
        </w:rPr>
        <w:t xml:space="preserve"> </w:t>
      </w:r>
      <w:r>
        <w:t>Plan</w:t>
      </w:r>
      <w:r>
        <w:rPr>
          <w:spacing w:val="-3"/>
        </w:rPr>
        <w:t xml:space="preserve"> </w:t>
      </w:r>
      <w:r>
        <w:t>Committee</w:t>
      </w:r>
      <w:r>
        <w:rPr>
          <w:spacing w:val="-5"/>
        </w:rPr>
        <w:t xml:space="preserve"> </w:t>
      </w:r>
      <w:r>
        <w:t>for</w:t>
      </w:r>
      <w:r>
        <w:rPr>
          <w:spacing w:val="-2"/>
        </w:rPr>
        <w:t xml:space="preserve"> </w:t>
      </w:r>
      <w:r>
        <w:t>the</w:t>
      </w:r>
      <w:r>
        <w:rPr>
          <w:spacing w:val="-3"/>
        </w:rPr>
        <w:t xml:space="preserve"> </w:t>
      </w:r>
      <w:r>
        <w:t>defined</w:t>
      </w:r>
      <w:r>
        <w:rPr>
          <w:spacing w:val="-3"/>
        </w:rPr>
        <w:t xml:space="preserve"> </w:t>
      </w:r>
      <w:r>
        <w:t>contribution plans of Purdue University.</w:t>
      </w:r>
    </w:p>
    <w:p w14:paraId="6ADF9F6D" w14:textId="77777777" w:rsidR="00F6262B" w:rsidRDefault="00000000">
      <w:pPr>
        <w:pStyle w:val="BodyText"/>
        <w:spacing w:before="160"/>
        <w:ind w:right="0"/>
      </w:pPr>
      <w:r>
        <w:t>Amy</w:t>
      </w:r>
      <w:r>
        <w:rPr>
          <w:spacing w:val="-4"/>
        </w:rPr>
        <w:t xml:space="preserve"> </w:t>
      </w:r>
      <w:r>
        <w:t>welcomed</w:t>
      </w:r>
      <w:r>
        <w:rPr>
          <w:spacing w:val="-4"/>
        </w:rPr>
        <w:t xml:space="preserve"> </w:t>
      </w:r>
      <w:r>
        <w:t>committee</w:t>
      </w:r>
      <w:r>
        <w:rPr>
          <w:spacing w:val="-5"/>
        </w:rPr>
        <w:t xml:space="preserve"> </w:t>
      </w:r>
      <w:r>
        <w:t>members</w:t>
      </w:r>
      <w:r>
        <w:rPr>
          <w:spacing w:val="-4"/>
        </w:rPr>
        <w:t xml:space="preserve"> </w:t>
      </w:r>
      <w:r>
        <w:t>and</w:t>
      </w:r>
      <w:r>
        <w:rPr>
          <w:spacing w:val="-3"/>
        </w:rPr>
        <w:t xml:space="preserve"> </w:t>
      </w:r>
      <w:r>
        <w:t>reviewed</w:t>
      </w:r>
      <w:r>
        <w:rPr>
          <w:spacing w:val="-4"/>
        </w:rPr>
        <w:t xml:space="preserve"> </w:t>
      </w:r>
      <w:r>
        <w:t>the</w:t>
      </w:r>
      <w:r>
        <w:rPr>
          <w:spacing w:val="-5"/>
        </w:rPr>
        <w:t xml:space="preserve"> </w:t>
      </w:r>
      <w:r>
        <w:rPr>
          <w:spacing w:val="-2"/>
        </w:rPr>
        <w:t>agenda.</w:t>
      </w:r>
    </w:p>
    <w:p w14:paraId="1FF407B8" w14:textId="77777777" w:rsidR="00F6262B" w:rsidRDefault="00000000">
      <w:pPr>
        <w:pStyle w:val="BodyText"/>
        <w:spacing w:before="200"/>
        <w:ind w:right="0"/>
      </w:pPr>
      <w:r>
        <w:t>The</w:t>
      </w:r>
      <w:r>
        <w:rPr>
          <w:spacing w:val="-3"/>
        </w:rPr>
        <w:t xml:space="preserve"> </w:t>
      </w:r>
      <w:r>
        <w:t>Committee</w:t>
      </w:r>
      <w:r>
        <w:rPr>
          <w:spacing w:val="-5"/>
        </w:rPr>
        <w:t xml:space="preserve"> </w:t>
      </w:r>
      <w:r>
        <w:t>approved</w:t>
      </w:r>
      <w:r>
        <w:rPr>
          <w:spacing w:val="-6"/>
        </w:rPr>
        <w:t xml:space="preserve"> </w:t>
      </w:r>
      <w:r>
        <w:t>the</w:t>
      </w:r>
      <w:r>
        <w:rPr>
          <w:spacing w:val="-2"/>
        </w:rPr>
        <w:t xml:space="preserve"> </w:t>
      </w:r>
      <w:r>
        <w:t>December</w:t>
      </w:r>
      <w:r>
        <w:rPr>
          <w:spacing w:val="-2"/>
        </w:rPr>
        <w:t xml:space="preserve"> </w:t>
      </w:r>
      <w:r>
        <w:t>2025</w:t>
      </w:r>
      <w:r>
        <w:rPr>
          <w:spacing w:val="-3"/>
        </w:rPr>
        <w:t xml:space="preserve"> </w:t>
      </w:r>
      <w:r>
        <w:t>minutes</w:t>
      </w:r>
      <w:r>
        <w:rPr>
          <w:spacing w:val="-5"/>
        </w:rPr>
        <w:t xml:space="preserve"> </w:t>
      </w:r>
      <w:r>
        <w:t>as</w:t>
      </w:r>
      <w:r>
        <w:rPr>
          <w:spacing w:val="-2"/>
        </w:rPr>
        <w:t xml:space="preserve"> distributed.</w:t>
      </w:r>
    </w:p>
    <w:p w14:paraId="6FD8DFB4" w14:textId="77777777" w:rsidR="00F6262B" w:rsidRDefault="00000000">
      <w:pPr>
        <w:pStyle w:val="BodyText"/>
        <w:spacing w:before="198" w:line="278" w:lineRule="auto"/>
        <w:ind w:right="136"/>
      </w:pPr>
      <w:r>
        <w:t>Janine provided the HR update on retirement plan administrative and engagement activities. She reported that the Vanguard Institutional Index Fund share class change project, in collaboration with Fidelity, is progressing</w:t>
      </w:r>
      <w:r>
        <w:rPr>
          <w:spacing w:val="-3"/>
        </w:rPr>
        <w:t xml:space="preserve"> </w:t>
      </w:r>
      <w:r>
        <w:t>as planned and</w:t>
      </w:r>
      <w:r>
        <w:rPr>
          <w:spacing w:val="-3"/>
        </w:rPr>
        <w:t xml:space="preserve"> </w:t>
      </w:r>
      <w:r>
        <w:t>will</w:t>
      </w:r>
      <w:r>
        <w:rPr>
          <w:spacing w:val="-2"/>
        </w:rPr>
        <w:t xml:space="preserve"> </w:t>
      </w:r>
      <w:r>
        <w:t>take effect on</w:t>
      </w:r>
      <w:r>
        <w:rPr>
          <w:spacing w:val="-12"/>
        </w:rPr>
        <w:t xml:space="preserve"> </w:t>
      </w:r>
      <w:r>
        <w:t>April 22,</w:t>
      </w:r>
      <w:r>
        <w:rPr>
          <w:spacing w:val="-3"/>
        </w:rPr>
        <w:t xml:space="preserve"> </w:t>
      </w:r>
      <w:r>
        <w:t>2025.</w:t>
      </w:r>
      <w:r>
        <w:rPr>
          <w:spacing w:val="-5"/>
        </w:rPr>
        <w:t xml:space="preserve"> </w:t>
      </w:r>
      <w:r>
        <w:t>This transition will</w:t>
      </w:r>
      <w:r>
        <w:rPr>
          <w:spacing w:val="-2"/>
        </w:rPr>
        <w:t xml:space="preserve"> </w:t>
      </w:r>
      <w:r>
        <w:t>move</w:t>
      </w:r>
      <w:r>
        <w:rPr>
          <w:spacing w:val="-2"/>
        </w:rPr>
        <w:t xml:space="preserve"> </w:t>
      </w:r>
      <w:r>
        <w:t>participants to the Institutional Plus Shares, replacing the previous Institutional Shares. In addition to this change, strategic initiatives</w:t>
      </w:r>
      <w:r>
        <w:rPr>
          <w:spacing w:val="-6"/>
        </w:rPr>
        <w:t xml:space="preserve"> </w:t>
      </w:r>
      <w:r>
        <w:t>are</w:t>
      </w:r>
      <w:r>
        <w:rPr>
          <w:spacing w:val="-4"/>
        </w:rPr>
        <w:t xml:space="preserve"> </w:t>
      </w:r>
      <w:r>
        <w:t>underway,</w:t>
      </w:r>
      <w:r>
        <w:rPr>
          <w:spacing w:val="-7"/>
        </w:rPr>
        <w:t xml:space="preserve"> </w:t>
      </w:r>
      <w:r>
        <w:t>including</w:t>
      </w:r>
      <w:r>
        <w:rPr>
          <w:spacing w:val="-4"/>
        </w:rPr>
        <w:t xml:space="preserve"> </w:t>
      </w:r>
      <w:r>
        <w:t>an</w:t>
      </w:r>
      <w:r>
        <w:rPr>
          <w:spacing w:val="-4"/>
        </w:rPr>
        <w:t xml:space="preserve"> </w:t>
      </w:r>
      <w:r>
        <w:t>evaluation</w:t>
      </w:r>
      <w:r>
        <w:rPr>
          <w:spacing w:val="-4"/>
        </w:rPr>
        <w:t xml:space="preserve"> </w:t>
      </w:r>
      <w:r>
        <w:t>of</w:t>
      </w:r>
      <w:r>
        <w:rPr>
          <w:spacing w:val="-3"/>
        </w:rPr>
        <w:t xml:space="preserve"> </w:t>
      </w:r>
      <w:r>
        <w:t>investment</w:t>
      </w:r>
      <w:r>
        <w:rPr>
          <w:spacing w:val="-3"/>
        </w:rPr>
        <w:t xml:space="preserve"> </w:t>
      </w:r>
      <w:r>
        <w:t>structures</w:t>
      </w:r>
      <w:r>
        <w:rPr>
          <w:spacing w:val="-4"/>
        </w:rPr>
        <w:t xml:space="preserve"> </w:t>
      </w:r>
      <w:r>
        <w:t>and</w:t>
      </w:r>
      <w:r>
        <w:rPr>
          <w:spacing w:val="-7"/>
        </w:rPr>
        <w:t xml:space="preserve"> </w:t>
      </w:r>
      <w:r>
        <w:t>a</w:t>
      </w:r>
      <w:r>
        <w:rPr>
          <w:spacing w:val="-4"/>
        </w:rPr>
        <w:t xml:space="preserve"> </w:t>
      </w:r>
      <w:r>
        <w:t>target-date</w:t>
      </w:r>
      <w:r>
        <w:rPr>
          <w:spacing w:val="-4"/>
        </w:rPr>
        <w:t xml:space="preserve"> </w:t>
      </w:r>
      <w:r>
        <w:t>fund</w:t>
      </w:r>
      <w:r>
        <w:rPr>
          <w:spacing w:val="-4"/>
        </w:rPr>
        <w:t xml:space="preserve"> </w:t>
      </w:r>
      <w:r>
        <w:t xml:space="preserve">suitability </w:t>
      </w:r>
      <w:r>
        <w:rPr>
          <w:spacing w:val="-2"/>
        </w:rPr>
        <w:t>study.</w:t>
      </w:r>
    </w:p>
    <w:p w14:paraId="6E0AEFA1" w14:textId="77777777" w:rsidR="00F6262B" w:rsidRDefault="00000000">
      <w:pPr>
        <w:pStyle w:val="BodyText"/>
        <w:spacing w:before="159" w:line="278" w:lineRule="auto"/>
      </w:pPr>
      <w:r>
        <w:t>Janine highlighted the increased outreach to faculty and staff, emphasizing resources to address market volatility</w:t>
      </w:r>
      <w:r>
        <w:rPr>
          <w:spacing w:val="-6"/>
        </w:rPr>
        <w:t xml:space="preserve"> </w:t>
      </w:r>
      <w:r>
        <w:t>and</w:t>
      </w:r>
      <w:r>
        <w:rPr>
          <w:spacing w:val="-5"/>
        </w:rPr>
        <w:t xml:space="preserve"> </w:t>
      </w:r>
      <w:r>
        <w:t>the</w:t>
      </w:r>
      <w:r>
        <w:rPr>
          <w:spacing w:val="-5"/>
        </w:rPr>
        <w:t xml:space="preserve"> </w:t>
      </w:r>
      <w:r>
        <w:t>promotion</w:t>
      </w:r>
      <w:r>
        <w:rPr>
          <w:spacing w:val="-5"/>
        </w:rPr>
        <w:t xml:space="preserve"> </w:t>
      </w:r>
      <w:r>
        <w:t>of</w:t>
      </w:r>
      <w:r>
        <w:rPr>
          <w:spacing w:val="-14"/>
        </w:rPr>
        <w:t xml:space="preserve"> </w:t>
      </w:r>
      <w:r>
        <w:t>America</w:t>
      </w:r>
      <w:r>
        <w:rPr>
          <w:spacing w:val="-7"/>
        </w:rPr>
        <w:t xml:space="preserve"> </w:t>
      </w:r>
      <w:r>
        <w:t>Saves</w:t>
      </w:r>
      <w:r>
        <w:rPr>
          <w:spacing w:val="-10"/>
        </w:rPr>
        <w:t xml:space="preserve"> </w:t>
      </w:r>
      <w:r>
        <w:t>Week</w:t>
      </w:r>
      <w:r>
        <w:rPr>
          <w:spacing w:val="-8"/>
        </w:rPr>
        <w:t xml:space="preserve"> </w:t>
      </w:r>
      <w:r>
        <w:t>through</w:t>
      </w:r>
      <w:r>
        <w:rPr>
          <w:spacing w:val="-5"/>
        </w:rPr>
        <w:t xml:space="preserve"> </w:t>
      </w:r>
      <w:r>
        <w:t>Fidelity’s</w:t>
      </w:r>
      <w:r>
        <w:rPr>
          <w:spacing w:val="-5"/>
        </w:rPr>
        <w:t xml:space="preserve"> </w:t>
      </w:r>
      <w:r>
        <w:t>virtual</w:t>
      </w:r>
      <w:r>
        <w:rPr>
          <w:spacing w:val="-4"/>
        </w:rPr>
        <w:t xml:space="preserve"> </w:t>
      </w:r>
      <w:r>
        <w:t>financial</w:t>
      </w:r>
      <w:r>
        <w:rPr>
          <w:spacing w:val="-4"/>
        </w:rPr>
        <w:t xml:space="preserve"> </w:t>
      </w:r>
      <w:r>
        <w:t>wellness</w:t>
      </w:r>
      <w:r>
        <w:rPr>
          <w:spacing w:val="-5"/>
        </w:rPr>
        <w:t xml:space="preserve"> </w:t>
      </w:r>
      <w:r>
        <w:t xml:space="preserve">workshops. She shared that ongoing educational workshops </w:t>
      </w:r>
      <w:proofErr w:type="gramStart"/>
      <w:r>
        <w:t>have focused</w:t>
      </w:r>
      <w:proofErr w:type="gramEnd"/>
      <w:r>
        <w:t xml:space="preserve"> on account consolidation, retirement plan fundamentals, and Roth in-plan conversion options. The Spring Road to Retirement Program, held virtually in March, attracted over 600 participants and featured expert presentations on Social Security, HSA, and retirement planning. She emphasized the committee’s ongoing efforts to promote retirement and financial wellness through various channels such as Purdue Today and the Healthy Boiler newsletter.</w:t>
      </w:r>
    </w:p>
    <w:p w14:paraId="3497DB6A" w14:textId="77777777" w:rsidR="00F6262B" w:rsidRDefault="00000000">
      <w:pPr>
        <w:pStyle w:val="BodyText"/>
        <w:spacing w:before="156" w:line="278" w:lineRule="auto"/>
        <w:ind w:right="136"/>
      </w:pPr>
      <w:r>
        <w:t>During</w:t>
      </w:r>
      <w:r>
        <w:rPr>
          <w:spacing w:val="-5"/>
        </w:rPr>
        <w:t xml:space="preserve"> </w:t>
      </w:r>
      <w:r>
        <w:t>the</w:t>
      </w:r>
      <w:r>
        <w:rPr>
          <w:spacing w:val="-4"/>
        </w:rPr>
        <w:t xml:space="preserve"> </w:t>
      </w:r>
      <w:r>
        <w:t>question-and-answer</w:t>
      </w:r>
      <w:r>
        <w:rPr>
          <w:spacing w:val="-1"/>
        </w:rPr>
        <w:t xml:space="preserve"> </w:t>
      </w:r>
      <w:r>
        <w:t>portion,</w:t>
      </w:r>
      <w:r>
        <w:rPr>
          <w:spacing w:val="-5"/>
        </w:rPr>
        <w:t xml:space="preserve"> </w:t>
      </w:r>
      <w:r>
        <w:t>committee</w:t>
      </w:r>
      <w:r>
        <w:rPr>
          <w:spacing w:val="-4"/>
        </w:rPr>
        <w:t xml:space="preserve"> </w:t>
      </w:r>
      <w:r>
        <w:t>members</w:t>
      </w:r>
      <w:r>
        <w:rPr>
          <w:spacing w:val="-4"/>
        </w:rPr>
        <w:t xml:space="preserve"> </w:t>
      </w:r>
      <w:r>
        <w:t>inquired</w:t>
      </w:r>
      <w:r>
        <w:rPr>
          <w:spacing w:val="-2"/>
        </w:rPr>
        <w:t xml:space="preserve"> </w:t>
      </w:r>
      <w:r>
        <w:t>about</w:t>
      </w:r>
      <w:r>
        <w:rPr>
          <w:spacing w:val="-4"/>
        </w:rPr>
        <w:t xml:space="preserve"> </w:t>
      </w:r>
      <w:r>
        <w:t>the</w:t>
      </w:r>
      <w:r>
        <w:rPr>
          <w:spacing w:val="-4"/>
        </w:rPr>
        <w:t xml:space="preserve"> </w:t>
      </w:r>
      <w:r>
        <w:t>breakdown</w:t>
      </w:r>
      <w:r>
        <w:rPr>
          <w:spacing w:val="-2"/>
        </w:rPr>
        <w:t xml:space="preserve"> </w:t>
      </w:r>
      <w:r>
        <w:t>of</w:t>
      </w:r>
      <w:r>
        <w:rPr>
          <w:spacing w:val="-4"/>
        </w:rPr>
        <w:t xml:space="preserve"> </w:t>
      </w:r>
      <w:r>
        <w:t>attendance</w:t>
      </w:r>
      <w:r>
        <w:rPr>
          <w:spacing w:val="-4"/>
        </w:rPr>
        <w:t xml:space="preserve"> </w:t>
      </w:r>
      <w:r>
        <w:t>at the Road to Retirement program, particularly regarding Purdue Global participants. Janine acknowledged that participation</w:t>
      </w:r>
      <w:r>
        <w:rPr>
          <w:spacing w:val="-1"/>
        </w:rPr>
        <w:t xml:space="preserve"> </w:t>
      </w:r>
      <w:r>
        <w:t>from Purdue Global remains low and</w:t>
      </w:r>
      <w:r>
        <w:rPr>
          <w:spacing w:val="-1"/>
        </w:rPr>
        <w:t xml:space="preserve"> </w:t>
      </w:r>
      <w:r>
        <w:t>that efforts are ongoing to increase engagement with that group. Questions were also raised about how retirements are tracked; Janine explained that while HR counselors</w:t>
      </w:r>
      <w:r>
        <w:rPr>
          <w:spacing w:val="-1"/>
        </w:rPr>
        <w:t xml:space="preserve"> </w:t>
      </w:r>
      <w:r>
        <w:t>track retirements for paperwork purposes, there</w:t>
      </w:r>
      <w:r>
        <w:rPr>
          <w:spacing w:val="-1"/>
        </w:rPr>
        <w:t xml:space="preserve"> </w:t>
      </w:r>
      <w:r>
        <w:t>is no formal</w:t>
      </w:r>
      <w:r>
        <w:rPr>
          <w:spacing w:val="-1"/>
        </w:rPr>
        <w:t xml:space="preserve"> </w:t>
      </w:r>
      <w:r>
        <w:t>trend analysis.</w:t>
      </w:r>
      <w:r>
        <w:rPr>
          <w:spacing w:val="-2"/>
        </w:rPr>
        <w:t xml:space="preserve"> </w:t>
      </w:r>
      <w:r>
        <w:t>She also</w:t>
      </w:r>
      <w:r>
        <w:rPr>
          <w:spacing w:val="-2"/>
        </w:rPr>
        <w:t xml:space="preserve"> </w:t>
      </w:r>
      <w:r>
        <w:t>clarified</w:t>
      </w:r>
      <w:r>
        <w:rPr>
          <w:spacing w:val="-2"/>
        </w:rPr>
        <w:t xml:space="preserve"> </w:t>
      </w:r>
      <w:r>
        <w:t xml:space="preserve">the process for employees to access retirement counselors, noting that employees can contact HR directly to </w:t>
      </w:r>
      <w:proofErr w:type="gramStart"/>
      <w:r>
        <w:t>be connected with</w:t>
      </w:r>
      <w:proofErr w:type="gramEnd"/>
      <w:r>
        <w:t xml:space="preserve"> benefit counselors or local Fidelity planners.</w:t>
      </w:r>
    </w:p>
    <w:p w14:paraId="40C948F3" w14:textId="77777777" w:rsidR="00F6262B" w:rsidRDefault="00000000">
      <w:pPr>
        <w:pStyle w:val="BodyText"/>
        <w:spacing w:before="156" w:line="278" w:lineRule="auto"/>
      </w:pPr>
      <w:r>
        <w:t>Candace</w:t>
      </w:r>
      <w:r>
        <w:rPr>
          <w:spacing w:val="-4"/>
        </w:rPr>
        <w:t xml:space="preserve"> </w:t>
      </w:r>
      <w:r>
        <w:t>reported</w:t>
      </w:r>
      <w:r>
        <w:rPr>
          <w:spacing w:val="-5"/>
        </w:rPr>
        <w:t xml:space="preserve"> </w:t>
      </w:r>
      <w:r>
        <w:t>that</w:t>
      </w:r>
      <w:r>
        <w:rPr>
          <w:spacing w:val="-1"/>
        </w:rPr>
        <w:t xml:space="preserve"> </w:t>
      </w:r>
      <w:r>
        <w:t>the</w:t>
      </w:r>
      <w:r>
        <w:rPr>
          <w:spacing w:val="-2"/>
        </w:rPr>
        <w:t xml:space="preserve"> </w:t>
      </w:r>
      <w:r>
        <w:t>Charter</w:t>
      </w:r>
      <w:r>
        <w:rPr>
          <w:spacing w:val="-4"/>
        </w:rPr>
        <w:t xml:space="preserve"> </w:t>
      </w:r>
      <w:r>
        <w:t>and</w:t>
      </w:r>
      <w:r>
        <w:rPr>
          <w:spacing w:val="-5"/>
        </w:rPr>
        <w:t xml:space="preserve"> </w:t>
      </w:r>
      <w:r>
        <w:t>Investment</w:t>
      </w:r>
      <w:r>
        <w:rPr>
          <w:spacing w:val="-1"/>
        </w:rPr>
        <w:t xml:space="preserve"> </w:t>
      </w:r>
      <w:r>
        <w:t>Policy</w:t>
      </w:r>
      <w:r>
        <w:rPr>
          <w:spacing w:val="-2"/>
        </w:rPr>
        <w:t xml:space="preserve"> </w:t>
      </w:r>
      <w:r>
        <w:t>Statement</w:t>
      </w:r>
      <w:r>
        <w:rPr>
          <w:spacing w:val="-1"/>
        </w:rPr>
        <w:t xml:space="preserve"> </w:t>
      </w:r>
      <w:proofErr w:type="gramStart"/>
      <w:r>
        <w:t>were</w:t>
      </w:r>
      <w:proofErr w:type="gramEnd"/>
      <w:r>
        <w:rPr>
          <w:spacing w:val="-2"/>
        </w:rPr>
        <w:t xml:space="preserve"> </w:t>
      </w:r>
      <w:r>
        <w:t>reviewed</w:t>
      </w:r>
      <w:r>
        <w:rPr>
          <w:spacing w:val="-5"/>
        </w:rPr>
        <w:t xml:space="preserve"> </w:t>
      </w:r>
      <w:r>
        <w:t>and</w:t>
      </w:r>
      <w:r>
        <w:rPr>
          <w:spacing w:val="-2"/>
        </w:rPr>
        <w:t xml:space="preserve"> </w:t>
      </w:r>
      <w:r>
        <w:t>approved,</w:t>
      </w:r>
      <w:r>
        <w:rPr>
          <w:spacing w:val="-2"/>
        </w:rPr>
        <w:t xml:space="preserve"> </w:t>
      </w:r>
      <w:r>
        <w:t>with</w:t>
      </w:r>
      <w:r>
        <w:rPr>
          <w:spacing w:val="-2"/>
        </w:rPr>
        <w:t xml:space="preserve"> </w:t>
      </w:r>
      <w:r>
        <w:t>Chris Ruhl suggesting that the board’s delegation of authority to the CFO be clarified, possibly by including a board memo as an appendix. Final revisions will be shared with the committee for review and confirmation once revisions are complete.</w:t>
      </w:r>
    </w:p>
    <w:p w14:paraId="05006B25" w14:textId="77777777" w:rsidR="00F6262B" w:rsidRDefault="00000000">
      <w:pPr>
        <w:pStyle w:val="BodyText"/>
        <w:spacing w:before="159" w:line="278" w:lineRule="auto"/>
      </w:pPr>
      <w:r>
        <w:t>Representatives from Callan presented a comprehensive review of the committee’s investment structure. Patrick began by summarizing the target date fund (TDF) suitability study, which found no concerns with Vanguard as the</w:t>
      </w:r>
      <w:r>
        <w:rPr>
          <w:spacing w:val="-1"/>
        </w:rPr>
        <w:t xml:space="preserve"> </w:t>
      </w:r>
      <w:r>
        <w:t>TDF provider.</w:t>
      </w:r>
      <w:r>
        <w:rPr>
          <w:spacing w:val="-1"/>
        </w:rPr>
        <w:t xml:space="preserve"> </w:t>
      </w:r>
      <w:r>
        <w:t>The review confirmed that Vanguard’s team is stable and that fund performance</w:t>
      </w:r>
      <w:r>
        <w:rPr>
          <w:spacing w:val="-3"/>
        </w:rPr>
        <w:t xml:space="preserve"> </w:t>
      </w:r>
      <w:r>
        <w:t>is</w:t>
      </w:r>
      <w:r>
        <w:rPr>
          <w:spacing w:val="-3"/>
        </w:rPr>
        <w:t xml:space="preserve"> </w:t>
      </w:r>
      <w:r>
        <w:t>in</w:t>
      </w:r>
      <w:r>
        <w:rPr>
          <w:spacing w:val="-3"/>
        </w:rPr>
        <w:t xml:space="preserve"> </w:t>
      </w:r>
      <w:r>
        <w:t>line</w:t>
      </w:r>
      <w:r>
        <w:rPr>
          <w:spacing w:val="-3"/>
        </w:rPr>
        <w:t xml:space="preserve"> </w:t>
      </w:r>
      <w:r>
        <w:t>with</w:t>
      </w:r>
      <w:r>
        <w:rPr>
          <w:spacing w:val="-6"/>
        </w:rPr>
        <w:t xml:space="preserve"> </w:t>
      </w:r>
      <w:r>
        <w:t>expectations.</w:t>
      </w:r>
      <w:r>
        <w:rPr>
          <w:spacing w:val="-3"/>
        </w:rPr>
        <w:t xml:space="preserve"> </w:t>
      </w:r>
      <w:r>
        <w:t>Notably,</w:t>
      </w:r>
      <w:r>
        <w:rPr>
          <w:spacing w:val="-3"/>
        </w:rPr>
        <w:t xml:space="preserve"> </w:t>
      </w:r>
      <w:r>
        <w:t>91%</w:t>
      </w:r>
      <w:r>
        <w:rPr>
          <w:spacing w:val="-5"/>
        </w:rPr>
        <w:t xml:space="preserve"> </w:t>
      </w:r>
      <w:r>
        <w:t>of</w:t>
      </w:r>
      <w:r>
        <w:rPr>
          <w:spacing w:val="-2"/>
        </w:rPr>
        <w:t xml:space="preserve"> </w:t>
      </w:r>
      <w:r>
        <w:t>participants</w:t>
      </w:r>
      <w:r>
        <w:rPr>
          <w:spacing w:val="-3"/>
        </w:rPr>
        <w:t xml:space="preserve"> </w:t>
      </w:r>
      <w:r>
        <w:t>use</w:t>
      </w:r>
      <w:r>
        <w:rPr>
          <w:spacing w:val="-8"/>
        </w:rPr>
        <w:t xml:space="preserve"> </w:t>
      </w:r>
      <w:r>
        <w:t>TDFs,</w:t>
      </w:r>
      <w:r>
        <w:rPr>
          <w:spacing w:val="-3"/>
        </w:rPr>
        <w:t xml:space="preserve"> </w:t>
      </w:r>
      <w:r>
        <w:t>and</w:t>
      </w:r>
      <w:r>
        <w:rPr>
          <w:spacing w:val="-3"/>
        </w:rPr>
        <w:t xml:space="preserve"> </w:t>
      </w:r>
      <w:r>
        <w:t>63%</w:t>
      </w:r>
      <w:r>
        <w:rPr>
          <w:spacing w:val="-5"/>
        </w:rPr>
        <w:t xml:space="preserve"> </w:t>
      </w:r>
      <w:r>
        <w:t>of</w:t>
      </w:r>
      <w:r>
        <w:rPr>
          <w:spacing w:val="-2"/>
        </w:rPr>
        <w:t xml:space="preserve"> </w:t>
      </w:r>
      <w:r>
        <w:t>plan</w:t>
      </w:r>
      <w:r>
        <w:rPr>
          <w:spacing w:val="-6"/>
        </w:rPr>
        <w:t xml:space="preserve"> </w:t>
      </w:r>
      <w:r>
        <w:t>assets</w:t>
      </w:r>
      <w:r>
        <w:rPr>
          <w:spacing w:val="-3"/>
        </w:rPr>
        <w:t xml:space="preserve"> </w:t>
      </w:r>
      <w:r>
        <w:t>are invested in these funds. Vanguard’s TDF fees were found to be highly competitive, and performance has</w:t>
      </w:r>
    </w:p>
    <w:p w14:paraId="7C1B2E40" w14:textId="77777777" w:rsidR="00F6262B" w:rsidRDefault="00F6262B">
      <w:pPr>
        <w:pStyle w:val="BodyText"/>
        <w:spacing w:line="278" w:lineRule="auto"/>
        <w:sectPr w:rsidR="00F6262B">
          <w:type w:val="continuous"/>
          <w:pgSz w:w="12240" w:h="15840"/>
          <w:pgMar w:top="1180" w:right="1080" w:bottom="280" w:left="1440" w:header="720" w:footer="720" w:gutter="0"/>
          <w:cols w:space="720"/>
        </w:sectPr>
      </w:pPr>
    </w:p>
    <w:p w14:paraId="39CA35DA" w14:textId="77777777" w:rsidR="00F6262B" w:rsidRDefault="00000000">
      <w:pPr>
        <w:pStyle w:val="BodyText"/>
        <w:spacing w:before="81" w:line="278" w:lineRule="auto"/>
      </w:pPr>
      <w:r>
        <w:lastRenderedPageBreak/>
        <w:t>generally</w:t>
      </w:r>
      <w:r>
        <w:rPr>
          <w:spacing w:val="-3"/>
        </w:rPr>
        <w:t xml:space="preserve"> </w:t>
      </w:r>
      <w:r>
        <w:t>exceeded</w:t>
      </w:r>
      <w:r>
        <w:rPr>
          <w:spacing w:val="-6"/>
        </w:rPr>
        <w:t xml:space="preserve"> </w:t>
      </w:r>
      <w:r>
        <w:t>that</w:t>
      </w:r>
      <w:r>
        <w:rPr>
          <w:spacing w:val="-2"/>
        </w:rPr>
        <w:t xml:space="preserve"> </w:t>
      </w:r>
      <w:r>
        <w:t>of</w:t>
      </w:r>
      <w:r>
        <w:rPr>
          <w:spacing w:val="-5"/>
        </w:rPr>
        <w:t xml:space="preserve"> </w:t>
      </w:r>
      <w:r>
        <w:t>peer</w:t>
      </w:r>
      <w:r>
        <w:rPr>
          <w:spacing w:val="-5"/>
        </w:rPr>
        <w:t xml:space="preserve"> </w:t>
      </w:r>
      <w:r>
        <w:t>funds,</w:t>
      </w:r>
      <w:r>
        <w:rPr>
          <w:spacing w:val="-3"/>
        </w:rPr>
        <w:t xml:space="preserve"> </w:t>
      </w:r>
      <w:r>
        <w:t>even</w:t>
      </w:r>
      <w:r>
        <w:rPr>
          <w:spacing w:val="-3"/>
        </w:rPr>
        <w:t xml:space="preserve"> </w:t>
      </w:r>
      <w:r>
        <w:t>during</w:t>
      </w:r>
      <w:r>
        <w:rPr>
          <w:spacing w:val="-6"/>
        </w:rPr>
        <w:t xml:space="preserve"> </w:t>
      </w:r>
      <w:r>
        <w:t>recent</w:t>
      </w:r>
      <w:r>
        <w:rPr>
          <w:spacing w:val="-5"/>
        </w:rPr>
        <w:t xml:space="preserve"> </w:t>
      </w:r>
      <w:r>
        <w:t>market</w:t>
      </w:r>
      <w:r>
        <w:rPr>
          <w:spacing w:val="-2"/>
        </w:rPr>
        <w:t xml:space="preserve"> </w:t>
      </w:r>
      <w:r>
        <w:t>volatility.</w:t>
      </w:r>
      <w:r>
        <w:rPr>
          <w:spacing w:val="-7"/>
        </w:rPr>
        <w:t xml:space="preserve"> </w:t>
      </w:r>
      <w:r>
        <w:t>The</w:t>
      </w:r>
      <w:r>
        <w:rPr>
          <w:spacing w:val="-3"/>
        </w:rPr>
        <w:t xml:space="preserve"> </w:t>
      </w:r>
      <w:r>
        <w:t>study</w:t>
      </w:r>
      <w:r>
        <w:rPr>
          <w:spacing w:val="-3"/>
        </w:rPr>
        <w:t xml:space="preserve"> </w:t>
      </w:r>
      <w:r>
        <w:t>also</w:t>
      </w:r>
      <w:r>
        <w:rPr>
          <w:spacing w:val="-3"/>
        </w:rPr>
        <w:t xml:space="preserve"> </w:t>
      </w:r>
      <w:r>
        <w:t>analyzed</w:t>
      </w:r>
      <w:r>
        <w:rPr>
          <w:spacing w:val="-6"/>
        </w:rPr>
        <w:t xml:space="preserve"> </w:t>
      </w:r>
      <w:r>
        <w:t>the</w:t>
      </w:r>
      <w:r>
        <w:rPr>
          <w:spacing w:val="-5"/>
        </w:rPr>
        <w:t xml:space="preserve"> </w:t>
      </w:r>
      <w:r>
        <w:t>risk profile of the Vanguard glide path, finding it closely aligned with industry averages and appropriately balanced between growth and risk, particularly as participants approach and enter retirement.</w:t>
      </w:r>
    </w:p>
    <w:p w14:paraId="1D80B58D" w14:textId="77777777" w:rsidR="00F6262B" w:rsidRDefault="00000000">
      <w:pPr>
        <w:pStyle w:val="BodyText"/>
        <w:spacing w:line="278" w:lineRule="auto"/>
      </w:pPr>
      <w:r>
        <w:t>The investment structure evaluation revealed that most participants are well-diversified, with a significant portion</w:t>
      </w:r>
      <w:r>
        <w:rPr>
          <w:spacing w:val="-3"/>
        </w:rPr>
        <w:t xml:space="preserve"> </w:t>
      </w:r>
      <w:r>
        <w:t>utilizing</w:t>
      </w:r>
      <w:r>
        <w:rPr>
          <w:spacing w:val="-3"/>
        </w:rPr>
        <w:t xml:space="preserve"> </w:t>
      </w:r>
      <w:r>
        <w:t>managed</w:t>
      </w:r>
      <w:r>
        <w:rPr>
          <w:spacing w:val="-3"/>
        </w:rPr>
        <w:t xml:space="preserve"> </w:t>
      </w:r>
      <w:r>
        <w:t>accounts</w:t>
      </w:r>
      <w:r>
        <w:rPr>
          <w:spacing w:val="-3"/>
        </w:rPr>
        <w:t xml:space="preserve"> </w:t>
      </w:r>
      <w:r>
        <w:t>appropriately.</w:t>
      </w:r>
      <w:r>
        <w:rPr>
          <w:spacing w:val="-8"/>
        </w:rPr>
        <w:t xml:space="preserve"> </w:t>
      </w:r>
      <w:r>
        <w:t>The</w:t>
      </w:r>
      <w:r>
        <w:rPr>
          <w:spacing w:val="-5"/>
        </w:rPr>
        <w:t xml:space="preserve"> </w:t>
      </w:r>
      <w:r>
        <w:t>committee</w:t>
      </w:r>
      <w:r>
        <w:rPr>
          <w:spacing w:val="-5"/>
        </w:rPr>
        <w:t xml:space="preserve"> </w:t>
      </w:r>
      <w:r>
        <w:t>found</w:t>
      </w:r>
      <w:r>
        <w:rPr>
          <w:spacing w:val="-6"/>
        </w:rPr>
        <w:t xml:space="preserve"> </w:t>
      </w:r>
      <w:r>
        <w:t>no</w:t>
      </w:r>
      <w:r>
        <w:rPr>
          <w:spacing w:val="-3"/>
        </w:rPr>
        <w:t xml:space="preserve"> </w:t>
      </w:r>
      <w:r>
        <w:t>evidence</w:t>
      </w:r>
      <w:r>
        <w:rPr>
          <w:spacing w:val="-3"/>
        </w:rPr>
        <w:t xml:space="preserve"> </w:t>
      </w:r>
      <w:r>
        <w:t>of</w:t>
      </w:r>
      <w:r>
        <w:rPr>
          <w:spacing w:val="-5"/>
        </w:rPr>
        <w:t xml:space="preserve"> </w:t>
      </w:r>
      <w:r>
        <w:t>misuse</w:t>
      </w:r>
      <w:r>
        <w:rPr>
          <w:spacing w:val="-3"/>
        </w:rPr>
        <w:t xml:space="preserve"> </w:t>
      </w:r>
      <w:r>
        <w:t>of</w:t>
      </w:r>
      <w:r>
        <w:rPr>
          <w:spacing w:val="-5"/>
        </w:rPr>
        <w:t xml:space="preserve"> </w:t>
      </w:r>
      <w:r>
        <w:t>specialty funds, and it was noted that managed accounts are the primary users of these options. In response to a question</w:t>
      </w:r>
      <w:r>
        <w:rPr>
          <w:spacing w:val="-2"/>
        </w:rPr>
        <w:t xml:space="preserve"> </w:t>
      </w:r>
      <w:r>
        <w:t>about socially responsible</w:t>
      </w:r>
      <w:r>
        <w:rPr>
          <w:spacing w:val="-1"/>
        </w:rPr>
        <w:t xml:space="preserve"> </w:t>
      </w:r>
      <w:r>
        <w:t>investing, Callan clarified that</w:t>
      </w:r>
      <w:r>
        <w:rPr>
          <w:spacing w:val="-1"/>
        </w:rPr>
        <w:t xml:space="preserve"> </w:t>
      </w:r>
      <w:r>
        <w:t>the</w:t>
      </w:r>
      <w:r>
        <w:rPr>
          <w:spacing w:val="-1"/>
        </w:rPr>
        <w:t xml:space="preserve"> </w:t>
      </w:r>
      <w:r>
        <w:t>current</w:t>
      </w:r>
      <w:r>
        <w:rPr>
          <w:spacing w:val="-1"/>
        </w:rPr>
        <w:t xml:space="preserve"> </w:t>
      </w:r>
      <w:r>
        <w:t>fund</w:t>
      </w:r>
      <w:r>
        <w:rPr>
          <w:spacing w:val="-2"/>
        </w:rPr>
        <w:t xml:space="preserve"> </w:t>
      </w:r>
      <w:r>
        <w:t>lineup does not</w:t>
      </w:r>
      <w:r>
        <w:rPr>
          <w:spacing w:val="-1"/>
        </w:rPr>
        <w:t xml:space="preserve"> </w:t>
      </w:r>
      <w:r>
        <w:t>include dedicated ESG or socially responsible funds, and that passive funds do not exclude specific industries.</w:t>
      </w:r>
    </w:p>
    <w:p w14:paraId="6DC1B564" w14:textId="77777777" w:rsidR="00F6262B" w:rsidRDefault="00000000">
      <w:pPr>
        <w:pStyle w:val="BodyText"/>
        <w:spacing w:line="278" w:lineRule="auto"/>
        <w:ind w:right="149"/>
      </w:pPr>
      <w:r>
        <w:t>The</w:t>
      </w:r>
      <w:r>
        <w:rPr>
          <w:spacing w:val="-3"/>
        </w:rPr>
        <w:t xml:space="preserve"> </w:t>
      </w:r>
      <w:r>
        <w:t>committee</w:t>
      </w:r>
      <w:r>
        <w:rPr>
          <w:spacing w:val="-3"/>
        </w:rPr>
        <w:t xml:space="preserve"> </w:t>
      </w:r>
      <w:r>
        <w:t>also</w:t>
      </w:r>
      <w:r>
        <w:rPr>
          <w:spacing w:val="-3"/>
        </w:rPr>
        <w:t xml:space="preserve"> </w:t>
      </w:r>
      <w:r>
        <w:t>discussed</w:t>
      </w:r>
      <w:r>
        <w:rPr>
          <w:spacing w:val="-3"/>
        </w:rPr>
        <w:t xml:space="preserve"> </w:t>
      </w:r>
      <w:r>
        <w:t>peer</w:t>
      </w:r>
      <w:r>
        <w:rPr>
          <w:spacing w:val="-2"/>
        </w:rPr>
        <w:t xml:space="preserve"> </w:t>
      </w:r>
      <w:r>
        <w:t>comparisons,</w:t>
      </w:r>
      <w:r>
        <w:rPr>
          <w:spacing w:val="-3"/>
        </w:rPr>
        <w:t xml:space="preserve"> </w:t>
      </w:r>
      <w:r>
        <w:t>with</w:t>
      </w:r>
      <w:r>
        <w:rPr>
          <w:spacing w:val="-6"/>
        </w:rPr>
        <w:t xml:space="preserve"> </w:t>
      </w:r>
      <w:r>
        <w:t>Callan</w:t>
      </w:r>
      <w:r>
        <w:rPr>
          <w:spacing w:val="-3"/>
        </w:rPr>
        <w:t xml:space="preserve"> </w:t>
      </w:r>
      <w:r>
        <w:t>noting</w:t>
      </w:r>
      <w:r>
        <w:rPr>
          <w:spacing w:val="-6"/>
        </w:rPr>
        <w:t xml:space="preserve"> </w:t>
      </w:r>
      <w:r>
        <w:t>that</w:t>
      </w:r>
      <w:r>
        <w:rPr>
          <w:spacing w:val="-2"/>
        </w:rPr>
        <w:t xml:space="preserve"> </w:t>
      </w:r>
      <w:r>
        <w:t>Purdue’s</w:t>
      </w:r>
      <w:r>
        <w:rPr>
          <w:spacing w:val="-5"/>
        </w:rPr>
        <w:t xml:space="preserve"> </w:t>
      </w:r>
      <w:r>
        <w:t>high</w:t>
      </w:r>
      <w:r>
        <w:rPr>
          <w:spacing w:val="-8"/>
        </w:rPr>
        <w:t xml:space="preserve"> </w:t>
      </w:r>
      <w:r>
        <w:t>TDF</w:t>
      </w:r>
      <w:r>
        <w:rPr>
          <w:spacing w:val="-4"/>
        </w:rPr>
        <w:t xml:space="preserve"> </w:t>
      </w:r>
      <w:r>
        <w:t>usage</w:t>
      </w:r>
      <w:r>
        <w:rPr>
          <w:spacing w:val="-5"/>
        </w:rPr>
        <w:t xml:space="preserve"> </w:t>
      </w:r>
      <w:r>
        <w:t>is</w:t>
      </w:r>
      <w:r>
        <w:rPr>
          <w:spacing w:val="-3"/>
        </w:rPr>
        <w:t xml:space="preserve"> </w:t>
      </w:r>
      <w:r>
        <w:t>above the</w:t>
      </w:r>
      <w:r>
        <w:rPr>
          <w:spacing w:val="-3"/>
        </w:rPr>
        <w:t xml:space="preserve"> </w:t>
      </w:r>
      <w:r>
        <w:t>industry</w:t>
      </w:r>
      <w:r>
        <w:rPr>
          <w:spacing w:val="-1"/>
        </w:rPr>
        <w:t xml:space="preserve"> </w:t>
      </w:r>
      <w:r>
        <w:t>average</w:t>
      </w:r>
      <w:r>
        <w:rPr>
          <w:spacing w:val="-1"/>
        </w:rPr>
        <w:t xml:space="preserve"> </w:t>
      </w:r>
      <w:r>
        <w:t>and</w:t>
      </w:r>
      <w:r>
        <w:rPr>
          <w:spacing w:val="-4"/>
        </w:rPr>
        <w:t xml:space="preserve"> </w:t>
      </w:r>
      <w:r>
        <w:t>considered</w:t>
      </w:r>
      <w:r>
        <w:rPr>
          <w:spacing w:val="-4"/>
        </w:rPr>
        <w:t xml:space="preserve"> </w:t>
      </w:r>
      <w:proofErr w:type="gramStart"/>
      <w:r>
        <w:t>a</w:t>
      </w:r>
      <w:r>
        <w:rPr>
          <w:spacing w:val="-1"/>
        </w:rPr>
        <w:t xml:space="preserve"> </w:t>
      </w:r>
      <w:r>
        <w:t>best</w:t>
      </w:r>
      <w:proofErr w:type="gramEnd"/>
      <w:r>
        <w:t xml:space="preserve"> practice.</w:t>
      </w:r>
      <w:r>
        <w:rPr>
          <w:spacing w:val="-6"/>
        </w:rPr>
        <w:t xml:space="preserve"> </w:t>
      </w:r>
      <w:r>
        <w:t>The</w:t>
      </w:r>
      <w:r>
        <w:rPr>
          <w:spacing w:val="-1"/>
        </w:rPr>
        <w:t xml:space="preserve"> </w:t>
      </w:r>
      <w:r>
        <w:t>performance</w:t>
      </w:r>
      <w:r>
        <w:rPr>
          <w:spacing w:val="-3"/>
        </w:rPr>
        <w:t xml:space="preserve"> </w:t>
      </w:r>
      <w:r>
        <w:t>and</w:t>
      </w:r>
      <w:r>
        <w:rPr>
          <w:spacing w:val="-4"/>
        </w:rPr>
        <w:t xml:space="preserve"> </w:t>
      </w:r>
      <w:r>
        <w:t>fee</w:t>
      </w:r>
      <w:r>
        <w:rPr>
          <w:spacing w:val="-3"/>
        </w:rPr>
        <w:t xml:space="preserve"> </w:t>
      </w:r>
      <w:r>
        <w:t>review</w:t>
      </w:r>
      <w:r>
        <w:rPr>
          <w:spacing w:val="-2"/>
        </w:rPr>
        <w:t xml:space="preserve"> </w:t>
      </w:r>
      <w:r>
        <w:t>included</w:t>
      </w:r>
      <w:r>
        <w:rPr>
          <w:spacing w:val="-4"/>
        </w:rPr>
        <w:t xml:space="preserve"> </w:t>
      </w:r>
      <w:r>
        <w:t>an</w:t>
      </w:r>
      <w:r>
        <w:rPr>
          <w:spacing w:val="-1"/>
        </w:rPr>
        <w:t xml:space="preserve"> </w:t>
      </w:r>
      <w:r>
        <w:t>update</w:t>
      </w:r>
      <w:r>
        <w:rPr>
          <w:spacing w:val="-3"/>
        </w:rPr>
        <w:t xml:space="preserve"> </w:t>
      </w:r>
      <w:r>
        <w:t>on the</w:t>
      </w:r>
      <w:r>
        <w:rPr>
          <w:spacing w:val="-2"/>
        </w:rPr>
        <w:t xml:space="preserve"> </w:t>
      </w:r>
      <w:proofErr w:type="spellStart"/>
      <w:r>
        <w:t>Primecap</w:t>
      </w:r>
      <w:proofErr w:type="spellEnd"/>
      <w:r>
        <w:rPr>
          <w:spacing w:val="-2"/>
        </w:rPr>
        <w:t xml:space="preserve"> </w:t>
      </w:r>
      <w:r>
        <w:t>fund,</w:t>
      </w:r>
      <w:r>
        <w:rPr>
          <w:spacing w:val="-2"/>
        </w:rPr>
        <w:t xml:space="preserve"> </w:t>
      </w:r>
      <w:r>
        <w:t>with</w:t>
      </w:r>
      <w:r>
        <w:rPr>
          <w:spacing w:val="-5"/>
        </w:rPr>
        <w:t xml:space="preserve"> </w:t>
      </w:r>
      <w:r>
        <w:t>an</w:t>
      </w:r>
      <w:r>
        <w:rPr>
          <w:spacing w:val="-5"/>
        </w:rPr>
        <w:t xml:space="preserve"> </w:t>
      </w:r>
      <w:r>
        <w:t>opportunity</w:t>
      </w:r>
      <w:r>
        <w:rPr>
          <w:spacing w:val="-5"/>
        </w:rPr>
        <w:t xml:space="preserve"> </w:t>
      </w:r>
      <w:proofErr w:type="gramStart"/>
      <w:r>
        <w:t>identified</w:t>
      </w:r>
      <w:proofErr w:type="gramEnd"/>
      <w:r>
        <w:rPr>
          <w:spacing w:val="-5"/>
        </w:rPr>
        <w:t xml:space="preserve"> </w:t>
      </w:r>
      <w:r>
        <w:t>to</w:t>
      </w:r>
      <w:r>
        <w:rPr>
          <w:spacing w:val="-5"/>
        </w:rPr>
        <w:t xml:space="preserve"> </w:t>
      </w:r>
      <w:r>
        <w:t>move</w:t>
      </w:r>
      <w:r>
        <w:rPr>
          <w:spacing w:val="-2"/>
        </w:rPr>
        <w:t xml:space="preserve"> </w:t>
      </w:r>
      <w:r>
        <w:t>to</w:t>
      </w:r>
      <w:r>
        <w:rPr>
          <w:spacing w:val="-5"/>
        </w:rPr>
        <w:t xml:space="preserve"> </w:t>
      </w:r>
      <w:r>
        <w:t>a</w:t>
      </w:r>
      <w:r>
        <w:rPr>
          <w:spacing w:val="-2"/>
        </w:rPr>
        <w:t xml:space="preserve"> </w:t>
      </w:r>
      <w:r>
        <w:t>similar</w:t>
      </w:r>
      <w:r>
        <w:rPr>
          <w:spacing w:val="-6"/>
        </w:rPr>
        <w:t xml:space="preserve"> </w:t>
      </w:r>
      <w:r>
        <w:t>Vanguard</w:t>
      </w:r>
      <w:r>
        <w:rPr>
          <w:spacing w:val="-2"/>
        </w:rPr>
        <w:t xml:space="preserve"> </w:t>
      </w:r>
      <w:r>
        <w:t>fund</w:t>
      </w:r>
      <w:r>
        <w:rPr>
          <w:spacing w:val="-2"/>
        </w:rPr>
        <w:t xml:space="preserve"> </w:t>
      </w:r>
      <w:r>
        <w:t>with</w:t>
      </w:r>
      <w:r>
        <w:rPr>
          <w:spacing w:val="-2"/>
        </w:rPr>
        <w:t xml:space="preserve"> </w:t>
      </w:r>
      <w:r>
        <w:t>lower</w:t>
      </w:r>
      <w:r>
        <w:rPr>
          <w:spacing w:val="-1"/>
        </w:rPr>
        <w:t xml:space="preserve"> </w:t>
      </w:r>
      <w:r>
        <w:t>fees.</w:t>
      </w:r>
      <w:r>
        <w:rPr>
          <w:spacing w:val="-7"/>
        </w:rPr>
        <w:t xml:space="preserve"> </w:t>
      </w:r>
      <w:r>
        <w:t>This potential change will be reviewed further before a recommendation is made. Overall, no major concerns were identified in the performance review, and ongoing monitoring will continue.</w:t>
      </w:r>
    </w:p>
    <w:p w14:paraId="3B58AEFF" w14:textId="77777777" w:rsidR="00F6262B" w:rsidRDefault="00000000">
      <w:pPr>
        <w:pStyle w:val="BodyText"/>
        <w:spacing w:before="157" w:line="278" w:lineRule="auto"/>
      </w:pPr>
      <w:r>
        <w:t>Looking</w:t>
      </w:r>
      <w:r>
        <w:rPr>
          <w:spacing w:val="-6"/>
        </w:rPr>
        <w:t xml:space="preserve"> </w:t>
      </w:r>
      <w:r>
        <w:t>ahead,</w:t>
      </w:r>
      <w:r>
        <w:rPr>
          <w:spacing w:val="-3"/>
        </w:rPr>
        <w:t xml:space="preserve"> </w:t>
      </w:r>
      <w:r>
        <w:t>the</w:t>
      </w:r>
      <w:r>
        <w:rPr>
          <w:spacing w:val="-3"/>
        </w:rPr>
        <w:t xml:space="preserve"> </w:t>
      </w:r>
      <w:r>
        <w:t>committee</w:t>
      </w:r>
      <w:r>
        <w:rPr>
          <w:spacing w:val="-3"/>
        </w:rPr>
        <w:t xml:space="preserve"> </w:t>
      </w:r>
      <w:r>
        <w:t>plans</w:t>
      </w:r>
      <w:r>
        <w:rPr>
          <w:spacing w:val="-3"/>
        </w:rPr>
        <w:t xml:space="preserve"> </w:t>
      </w:r>
      <w:r>
        <w:t>to</w:t>
      </w:r>
      <w:r>
        <w:rPr>
          <w:spacing w:val="-6"/>
        </w:rPr>
        <w:t xml:space="preserve"> </w:t>
      </w:r>
      <w:r>
        <w:t>conduct</w:t>
      </w:r>
      <w:r>
        <w:rPr>
          <w:spacing w:val="-5"/>
        </w:rPr>
        <w:t xml:space="preserve"> </w:t>
      </w:r>
      <w:r>
        <w:t>a</w:t>
      </w:r>
      <w:r>
        <w:rPr>
          <w:spacing w:val="-3"/>
        </w:rPr>
        <w:t xml:space="preserve"> </w:t>
      </w:r>
      <w:r>
        <w:t>thorough</w:t>
      </w:r>
      <w:r>
        <w:rPr>
          <w:spacing w:val="-3"/>
        </w:rPr>
        <w:t xml:space="preserve"> </w:t>
      </w:r>
      <w:r>
        <w:t>review</w:t>
      </w:r>
      <w:r>
        <w:rPr>
          <w:spacing w:val="-4"/>
        </w:rPr>
        <w:t xml:space="preserve"> </w:t>
      </w:r>
      <w:r>
        <w:t>of</w:t>
      </w:r>
      <w:r>
        <w:rPr>
          <w:spacing w:val="-2"/>
        </w:rPr>
        <w:t xml:space="preserve"> </w:t>
      </w:r>
      <w:r>
        <w:t>Fidelity’s</w:t>
      </w:r>
      <w:r>
        <w:rPr>
          <w:spacing w:val="-3"/>
        </w:rPr>
        <w:t xml:space="preserve"> </w:t>
      </w:r>
      <w:r>
        <w:t>recordkeeping</w:t>
      </w:r>
      <w:r>
        <w:rPr>
          <w:spacing w:val="-3"/>
        </w:rPr>
        <w:t xml:space="preserve"> </w:t>
      </w:r>
      <w:r>
        <w:t>and</w:t>
      </w:r>
      <w:r>
        <w:rPr>
          <w:spacing w:val="-6"/>
        </w:rPr>
        <w:t xml:space="preserve"> </w:t>
      </w:r>
      <w:r>
        <w:t>managed account services. There was also discussion about updating the committee charter and investment policy statement to strengthen language regarding the board’s delegation of authority to the CFO. The committee will continue regular reviews of investment structure, fees, and participant outcomes.</w:t>
      </w:r>
    </w:p>
    <w:p w14:paraId="543E353E" w14:textId="77777777" w:rsidR="00F6262B" w:rsidRDefault="00000000">
      <w:pPr>
        <w:pStyle w:val="BodyText"/>
        <w:spacing w:line="278" w:lineRule="auto"/>
      </w:pPr>
      <w:bookmarkStart w:id="3" w:name="Suggestions_for_topics_to_be_discussed_a"/>
      <w:bookmarkEnd w:id="3"/>
      <w:r>
        <w:t>Suggestions</w:t>
      </w:r>
      <w:r>
        <w:rPr>
          <w:spacing w:val="-2"/>
        </w:rPr>
        <w:t xml:space="preserve"> </w:t>
      </w:r>
      <w:r>
        <w:t>for</w:t>
      </w:r>
      <w:r>
        <w:rPr>
          <w:spacing w:val="-4"/>
        </w:rPr>
        <w:t xml:space="preserve"> </w:t>
      </w:r>
      <w:r>
        <w:t>topics</w:t>
      </w:r>
      <w:r>
        <w:rPr>
          <w:spacing w:val="-4"/>
        </w:rPr>
        <w:t xml:space="preserve"> </w:t>
      </w:r>
      <w:r>
        <w:t>to</w:t>
      </w:r>
      <w:r>
        <w:rPr>
          <w:spacing w:val="-2"/>
        </w:rPr>
        <w:t xml:space="preserve"> </w:t>
      </w:r>
      <w:r>
        <w:t>be</w:t>
      </w:r>
      <w:r>
        <w:rPr>
          <w:spacing w:val="-4"/>
        </w:rPr>
        <w:t xml:space="preserve"> </w:t>
      </w:r>
      <w:r>
        <w:t>discussed</w:t>
      </w:r>
      <w:r>
        <w:rPr>
          <w:spacing w:val="-2"/>
        </w:rPr>
        <w:t xml:space="preserve"> </w:t>
      </w:r>
      <w:r>
        <w:t>at</w:t>
      </w:r>
      <w:r>
        <w:rPr>
          <w:spacing w:val="-1"/>
        </w:rPr>
        <w:t xml:space="preserve"> </w:t>
      </w:r>
      <w:r>
        <w:t>the</w:t>
      </w:r>
      <w:r>
        <w:rPr>
          <w:spacing w:val="-2"/>
        </w:rPr>
        <w:t xml:space="preserve"> </w:t>
      </w:r>
      <w:r>
        <w:t>upcoming</w:t>
      </w:r>
      <w:r>
        <w:rPr>
          <w:spacing w:val="-5"/>
        </w:rPr>
        <w:t xml:space="preserve"> </w:t>
      </w:r>
      <w:r>
        <w:t>Fall</w:t>
      </w:r>
      <w:r>
        <w:rPr>
          <w:spacing w:val="-4"/>
        </w:rPr>
        <w:t xml:space="preserve"> </w:t>
      </w:r>
      <w:r>
        <w:t>2025</w:t>
      </w:r>
      <w:r>
        <w:rPr>
          <w:spacing w:val="-5"/>
        </w:rPr>
        <w:t xml:space="preserve"> </w:t>
      </w:r>
      <w:r>
        <w:t>meeting,</w:t>
      </w:r>
      <w:r>
        <w:rPr>
          <w:spacing w:val="-2"/>
        </w:rPr>
        <w:t xml:space="preserve"> </w:t>
      </w:r>
      <w:r>
        <w:t>scheduled</w:t>
      </w:r>
      <w:r>
        <w:rPr>
          <w:spacing w:val="-2"/>
        </w:rPr>
        <w:t xml:space="preserve"> </w:t>
      </w:r>
      <w:r>
        <w:t>for</w:t>
      </w:r>
      <w:r>
        <w:rPr>
          <w:spacing w:val="-1"/>
        </w:rPr>
        <w:t xml:space="preserve"> </w:t>
      </w:r>
      <w:r>
        <w:t>November</w:t>
      </w:r>
      <w:r>
        <w:rPr>
          <w:spacing w:val="-1"/>
        </w:rPr>
        <w:t xml:space="preserve"> </w:t>
      </w:r>
      <w:r>
        <w:t>19,</w:t>
      </w:r>
      <w:r>
        <w:rPr>
          <w:spacing w:val="-5"/>
        </w:rPr>
        <w:t xml:space="preserve"> </w:t>
      </w:r>
      <w:r>
        <w:t xml:space="preserve">can be emailed to Natalia at </w:t>
      </w:r>
      <w:hyperlink r:id="rId4">
        <w:r>
          <w:rPr>
            <w:color w:val="467885"/>
            <w:u w:val="single" w:color="467885"/>
          </w:rPr>
          <w:t>nmarulan@purdue.edu</w:t>
        </w:r>
      </w:hyperlink>
      <w:r>
        <w:t>.</w:t>
      </w:r>
    </w:p>
    <w:sectPr w:rsidR="00F6262B">
      <w:pgSz w:w="12240" w:h="15840"/>
      <w:pgMar w:top="118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6262B"/>
    <w:rsid w:val="001D3AA4"/>
    <w:rsid w:val="00F125CF"/>
    <w:rsid w:val="00F62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84F4C"/>
  <w15:docId w15:val="{4DA62377-78A5-4AF2-8200-B47666A67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8"/>
      <w:ind w:right="132"/>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marulan@purdu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4537</Characters>
  <Application>Microsoft Office Word</Application>
  <DocSecurity>0</DocSecurity>
  <Lines>61</Lines>
  <Paragraphs>17</Paragraphs>
  <ScaleCrop>false</ScaleCrop>
  <Company>Purdue University</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Marulanda</dc:creator>
  <dc:description/>
  <cp:lastModifiedBy>Elizabeth E Gray</cp:lastModifiedBy>
  <cp:revision>2</cp:revision>
  <dcterms:created xsi:type="dcterms:W3CDTF">2026-04-11T15:35:00Z</dcterms:created>
  <dcterms:modified xsi:type="dcterms:W3CDTF">2026-04-11T15:36:00Z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2025-11-18T00:00:00Z</vt:filetime>
  </property>
  <property fmtid="{D5CDD505-2E9C-101B-9397-08002B2CF9AE}" pid="3" name="Creator">
    <vt:lpwstr>Acrobat PDFMaker 25 for Word</vt:lpwstr>
  </property>
  <property fmtid="{D5CDD505-2E9C-101B-9397-08002B2CF9AE}" pid="4" name="GrammarlyDocumentId">
    <vt:lpwstr>0a75703c-b599-487f-9c80-cb1782ffbced</vt:lpwstr>
  </property>
  <property fmtid="{D5CDD505-2E9C-101B-9397-08002B2CF9AE}" pid="5" name="LastSaved">
    <vt:filetime>2026-04-11T00:00:00Z</vt:filetime>
  </property>
  <property fmtid="{D5CDD505-2E9C-101B-9397-08002B2CF9AE}" pid="6" name="Producer">
    <vt:lpwstr>Adobe PDF Library 25.1.108</vt:lpwstr>
  </property>
  <property fmtid="{D5CDD505-2E9C-101B-9397-08002B2CF9AE}" pid="7" name="SourceModified">
    <vt:lpwstr>D:20251023224659</vt:lpwstr>
  </property>
</Properties>
</file>